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000"/>
        </w:tabs>
        <w:spacing w:after="0"/>
        <w:rPr>
          <w:rFonts w:ascii="Arial" w:hAnsi="Arial" w:eastAsia="MS Mincho" w:cs="Arial"/>
          <w:b/>
          <w:bCs/>
          <w:sz w:val="22"/>
          <w:szCs w:val="32"/>
          <w:lang w:eastAsia="ja-JP"/>
        </w:rPr>
      </w:pPr>
      <w:r>
        <w:rPr>
          <w:rFonts w:ascii="Arial" w:hAnsi="Arial" w:eastAsia="MS Mincho" w:cs="Arial"/>
          <w:b/>
          <w:bCs/>
          <w:sz w:val="22"/>
          <w:szCs w:val="32"/>
          <w:lang w:eastAsia="ja-JP"/>
        </w:rPr>
        <w:t>3GPP TSG RAN WG1 #114bis</w:t>
      </w:r>
      <w:r>
        <w:rPr>
          <w:rFonts w:ascii="Arial" w:hAnsi="Arial" w:eastAsia="MS Mincho" w:cs="Arial"/>
          <w:b/>
          <w:bCs/>
          <w:sz w:val="22"/>
          <w:szCs w:val="32"/>
          <w:lang w:eastAsia="ja-JP"/>
        </w:rPr>
        <w:tab/>
      </w:r>
      <w:r>
        <w:rPr>
          <w:rFonts w:ascii="Arial" w:hAnsi="Arial" w:eastAsia="MS Mincho" w:cs="Arial"/>
          <w:b/>
          <w:bCs/>
          <w:sz w:val="22"/>
          <w:szCs w:val="32"/>
          <w:lang w:eastAsia="ja-JP"/>
        </w:rPr>
        <w:tab/>
      </w:r>
      <w:r>
        <w:rPr>
          <w:rFonts w:ascii="Arial" w:hAnsi="Arial" w:eastAsia="MS Mincho" w:cs="Arial"/>
          <w:b/>
          <w:bCs/>
          <w:sz w:val="22"/>
          <w:szCs w:val="32"/>
          <w:lang w:eastAsia="ja-JP"/>
        </w:rPr>
        <w:tab/>
      </w:r>
      <w:r>
        <w:rPr>
          <w:rFonts w:ascii="Arial" w:hAnsi="Arial" w:eastAsia="MS Mincho" w:cs="Arial"/>
          <w:b/>
          <w:bCs/>
          <w:sz w:val="22"/>
          <w:szCs w:val="32"/>
          <w:lang w:eastAsia="ja-JP"/>
        </w:rPr>
        <w:t xml:space="preserve">      R1-</w:t>
      </w:r>
      <w:r>
        <w:rPr>
          <w:rFonts w:hint="default" w:ascii="Arial" w:hAnsi="Arial" w:eastAsia="MS Mincho" w:cs="Arial"/>
          <w:b/>
          <w:bCs/>
          <w:sz w:val="22"/>
          <w:szCs w:val="32"/>
          <w:lang w:eastAsia="ja-JP"/>
        </w:rPr>
        <w:t>2309839</w:t>
      </w:r>
      <w:bookmarkStart w:id="1" w:name="_GoBack"/>
      <w:bookmarkEnd w:id="1"/>
    </w:p>
    <w:p>
      <w:pPr>
        <w:tabs>
          <w:tab w:val="center" w:pos="4536"/>
          <w:tab w:val="right" w:pos="8600"/>
        </w:tabs>
        <w:spacing w:after="0"/>
        <w:rPr>
          <w:rFonts w:ascii="Arial" w:hAnsi="Arial" w:eastAsia="MS Mincho" w:cs="Arial"/>
          <w:b/>
          <w:bCs/>
          <w:sz w:val="22"/>
          <w:szCs w:val="32"/>
          <w:lang w:eastAsia="ja-JP"/>
        </w:rPr>
      </w:pPr>
      <w:r>
        <w:rPr>
          <w:rFonts w:ascii="Arial" w:hAnsi="Arial" w:eastAsia="MS Mincho" w:cs="Arial"/>
          <w:b/>
          <w:bCs/>
          <w:sz w:val="22"/>
          <w:szCs w:val="32"/>
          <w:lang w:eastAsia="ja-JP"/>
        </w:rPr>
        <w:t>Xiamen, China, October 9</w:t>
      </w:r>
      <w:r>
        <w:rPr>
          <w:rFonts w:hint="eastAsia" w:ascii="Arial" w:hAnsi="Arial" w:eastAsia="MS Mincho" w:cs="Arial"/>
          <w:b/>
          <w:bCs/>
          <w:sz w:val="22"/>
          <w:szCs w:val="32"/>
          <w:lang w:eastAsia="ja-JP"/>
        </w:rPr>
        <w:t>th</w:t>
      </w:r>
      <w:r>
        <w:rPr>
          <w:rFonts w:ascii="Arial" w:hAnsi="Arial" w:eastAsia="MS Mincho" w:cs="Arial"/>
          <w:b/>
          <w:bCs/>
          <w:sz w:val="22"/>
          <w:szCs w:val="32"/>
          <w:lang w:eastAsia="ja-JP"/>
        </w:rPr>
        <w:t xml:space="preserve"> – </w:t>
      </w:r>
      <w:r>
        <w:rPr>
          <w:rFonts w:hint="eastAsia" w:ascii="Arial" w:hAnsi="Arial" w:eastAsia="MS Mincho" w:cs="Arial"/>
          <w:b/>
          <w:bCs/>
          <w:sz w:val="22"/>
          <w:szCs w:val="32"/>
          <w:lang w:eastAsia="ja-JP"/>
        </w:rPr>
        <w:t>October</w:t>
      </w:r>
      <w:r>
        <w:rPr>
          <w:rFonts w:ascii="Arial" w:hAnsi="Arial" w:eastAsia="MS Mincho" w:cs="Arial"/>
          <w:b/>
          <w:bCs/>
          <w:sz w:val="22"/>
          <w:szCs w:val="32"/>
          <w:lang w:eastAsia="ja-JP"/>
        </w:rPr>
        <w:t xml:space="preserve"> 13th, 2023</w:t>
      </w:r>
    </w:p>
    <w:p>
      <w:pPr>
        <w:pStyle w:val="44"/>
        <w:spacing w:after="0"/>
        <w:rPr>
          <w:sz w:val="22"/>
          <w:szCs w:val="22"/>
        </w:rPr>
      </w:pPr>
    </w:p>
    <w:p>
      <w:pPr>
        <w:pStyle w:val="44"/>
        <w:spacing w:after="0"/>
        <w:rPr>
          <w:rFonts w:ascii="Arial" w:hAnsi="Arial" w:cs="Arial"/>
          <w:sz w:val="22"/>
          <w:szCs w:val="22"/>
        </w:rPr>
      </w:pPr>
      <w:r>
        <w:rPr>
          <w:rFonts w:ascii="Arial" w:hAnsi="Arial" w:cs="Arial"/>
          <w:sz w:val="22"/>
          <w:szCs w:val="22"/>
        </w:rPr>
        <w:t>Agenda Item:</w:t>
      </w:r>
      <w:r>
        <w:rPr>
          <w:rFonts w:ascii="Arial" w:hAnsi="Arial" w:cs="Arial"/>
          <w:sz w:val="22"/>
          <w:szCs w:val="22"/>
        </w:rPr>
        <w:tab/>
      </w:r>
      <w:r>
        <w:rPr>
          <w:rFonts w:ascii="Arial" w:hAnsi="Arial" w:cs="Arial"/>
          <w:sz w:val="22"/>
          <w:szCs w:val="22"/>
        </w:rPr>
        <w:t>8.5.2</w:t>
      </w:r>
    </w:p>
    <w:p>
      <w:pPr>
        <w:pStyle w:val="44"/>
        <w:spacing w:after="0"/>
        <w:rPr>
          <w:rFonts w:ascii="Arial" w:hAnsi="Arial" w:cs="Arial"/>
          <w:sz w:val="22"/>
          <w:szCs w:val="22"/>
        </w:rPr>
      </w:pPr>
      <w:r>
        <w:rPr>
          <w:rFonts w:ascii="Arial" w:hAnsi="Arial" w:cs="Arial"/>
          <w:sz w:val="22"/>
          <w:szCs w:val="22"/>
        </w:rPr>
        <w:t>Source:</w:t>
      </w:r>
      <w:r>
        <w:rPr>
          <w:rFonts w:ascii="Arial" w:hAnsi="Arial" w:cs="Arial"/>
          <w:sz w:val="22"/>
          <w:szCs w:val="22"/>
        </w:rPr>
        <w:tab/>
      </w:r>
      <w:r>
        <w:rPr>
          <w:rFonts w:ascii="Arial" w:hAnsi="Arial" w:cs="Arial"/>
          <w:sz w:val="22"/>
          <w:szCs w:val="22"/>
        </w:rPr>
        <w:t>Apple</w:t>
      </w:r>
    </w:p>
    <w:p>
      <w:pPr>
        <w:pStyle w:val="44"/>
        <w:spacing w:after="0"/>
        <w:rPr>
          <w:rFonts w:ascii="Arial" w:hAnsi="Arial" w:cs="Arial"/>
          <w:sz w:val="22"/>
          <w:szCs w:val="22"/>
        </w:rPr>
      </w:pPr>
      <w:r>
        <w:rPr>
          <w:rFonts w:ascii="Arial" w:hAnsi="Arial" w:cs="Arial"/>
          <w:sz w:val="22"/>
          <w:szCs w:val="22"/>
        </w:rPr>
        <w:t>Title:</w:t>
      </w:r>
      <w:r>
        <w:rPr>
          <w:rFonts w:ascii="Arial" w:hAnsi="Arial" w:cs="Arial"/>
          <w:sz w:val="22"/>
          <w:szCs w:val="22"/>
        </w:rPr>
        <w:tab/>
      </w:r>
      <w:r>
        <w:rPr>
          <w:rFonts w:ascii="Arial" w:hAnsi="Arial" w:cs="Arial"/>
          <w:sz w:val="22"/>
          <w:szCs w:val="22"/>
        </w:rPr>
        <w:t>On remaining issues for cell DTX/DRX mechanism</w:t>
      </w:r>
    </w:p>
    <w:p>
      <w:pPr>
        <w:pStyle w:val="44"/>
        <w:spacing w:after="0"/>
        <w:rPr>
          <w:rFonts w:ascii="Arial" w:hAnsi="Arial" w:cs="Arial"/>
          <w:sz w:val="22"/>
          <w:szCs w:val="22"/>
        </w:rPr>
      </w:pPr>
      <w:r>
        <w:rPr>
          <w:rFonts w:ascii="Arial" w:hAnsi="Arial" w:cs="Arial"/>
          <w:sz w:val="22"/>
          <w:szCs w:val="22"/>
        </w:rPr>
        <w:t>Document for:</w:t>
      </w:r>
      <w:r>
        <w:rPr>
          <w:rFonts w:ascii="Arial" w:hAnsi="Arial" w:cs="Arial"/>
          <w:sz w:val="22"/>
          <w:szCs w:val="22"/>
        </w:rPr>
        <w:tab/>
      </w:r>
      <w:r>
        <w:rPr>
          <w:rFonts w:ascii="Arial" w:hAnsi="Arial" w:cs="Arial"/>
          <w:sz w:val="22"/>
          <w:szCs w:val="22"/>
        </w:rPr>
        <w:t>Discussion/Decision</w:t>
      </w:r>
    </w:p>
    <w:p>
      <w:pPr>
        <w:pStyle w:val="2"/>
        <w:jc w:val="both"/>
        <w:rPr>
          <w:sz w:val="32"/>
          <w:szCs w:val="32"/>
        </w:rPr>
      </w:pPr>
      <w:r>
        <w:rPr>
          <w:sz w:val="32"/>
          <w:szCs w:val="32"/>
        </w:rPr>
        <w:t xml:space="preserve"> Introduction</w:t>
      </w:r>
    </w:p>
    <w:p>
      <w:pPr>
        <w:suppressAutoHyphens/>
        <w:spacing w:after="0"/>
        <w:jc w:val="both"/>
        <w:rPr>
          <w:lang w:eastAsia="ko-KR"/>
        </w:rPr>
      </w:pPr>
      <w:r>
        <w:rPr>
          <w:rFonts w:eastAsia="宋体"/>
          <w:bCs/>
          <w:color w:val="000000" w:themeColor="text1"/>
          <w:sz w:val="21"/>
          <w:szCs w:val="21"/>
          <w14:textFill>
            <w14:solidFill>
              <w14:schemeClr w14:val="tx1"/>
            </w14:solidFill>
          </w14:textFill>
        </w:rPr>
        <w:t xml:space="preserve">In RAN1 #114 meeting [1], RAN1 completed R18 NES WI with introduction of cell DTX/DRX mechanism. In this contribution, we provide our views on the maintenance needed and corresponding RRC parameter list. </w:t>
      </w:r>
    </w:p>
    <w:p>
      <w:pPr>
        <w:pStyle w:val="2"/>
        <w:jc w:val="both"/>
        <w:rPr>
          <w:sz w:val="32"/>
          <w:szCs w:val="32"/>
        </w:rPr>
      </w:pPr>
      <w:r>
        <w:rPr>
          <w:sz w:val="32"/>
          <w:szCs w:val="32"/>
        </w:rPr>
        <w:t xml:space="preserve"> Impacted signals/channels in Cell DTX/DRX non-active period</w:t>
      </w:r>
    </w:p>
    <w:p>
      <w:pPr>
        <w:pStyle w:val="3"/>
        <w:rPr>
          <w:sz w:val="28"/>
          <w:szCs w:val="28"/>
        </w:rPr>
      </w:pPr>
      <w:r>
        <w:rPr>
          <w:sz w:val="28"/>
          <w:szCs w:val="28"/>
        </w:rPr>
        <w:t xml:space="preserve"> HARQ-ACK of SPS overlapping with non-active period of cell DTX</w:t>
      </w:r>
    </w:p>
    <w:p>
      <w:pPr>
        <w:overflowPunct w:val="0"/>
        <w:autoSpaceDE w:val="0"/>
        <w:autoSpaceDN w:val="0"/>
        <w:adjustRightInd w:val="0"/>
        <w:spacing w:after="180"/>
        <w:textAlignment w:val="baseline"/>
        <w:rPr>
          <w:sz w:val="21"/>
          <w:szCs w:val="28"/>
        </w:rPr>
      </w:pPr>
      <w:r>
        <w:rPr>
          <w:sz w:val="21"/>
          <w:szCs w:val="28"/>
        </w:rPr>
        <w:t>In RAN1 #114 meeting [1], it was concluded that the HARQ-ACK of SPS PDSCH transmitted is not impacted by non-active period of cell DRX.</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6"/>
      </w:tblGrid>
      <w:tr>
        <w:tc>
          <w:tcPr>
            <w:tcW w:w="9236" w:type="dxa"/>
          </w:tcPr>
          <w:p>
            <w:pPr>
              <w:pStyle w:val="14"/>
              <w:tabs>
                <w:tab w:val="left" w:pos="1440"/>
              </w:tabs>
              <w:spacing w:after="0"/>
              <w:rPr>
                <w:rFonts w:ascii="Times New Roman" w:hAnsi="Times New Roman" w:eastAsia="Malgun Gothic"/>
                <w:b/>
                <w:bCs/>
                <w:szCs w:val="20"/>
                <w:lang w:eastAsia="ko-KR"/>
              </w:rPr>
            </w:pPr>
            <w:r>
              <w:rPr>
                <w:rFonts w:ascii="Times New Roman" w:hAnsi="Times New Roman" w:eastAsia="Malgun Gothic"/>
                <w:b/>
                <w:bCs/>
                <w:szCs w:val="20"/>
                <w:lang w:eastAsia="ko-KR"/>
              </w:rPr>
              <w:t>Conclusion:</w:t>
            </w:r>
          </w:p>
          <w:p>
            <w:pPr>
              <w:pStyle w:val="14"/>
              <w:numPr>
                <w:ilvl w:val="0"/>
                <w:numId w:val="3"/>
              </w:numPr>
              <w:tabs>
                <w:tab w:val="left" w:pos="800"/>
              </w:tabs>
              <w:suppressAutoHyphens/>
              <w:spacing w:after="0" w:line="254" w:lineRule="auto"/>
              <w:rPr>
                <w:sz w:val="21"/>
                <w:szCs w:val="28"/>
              </w:rPr>
            </w:pPr>
            <w:r>
              <w:rPr>
                <w:rFonts w:ascii="Times New Roman" w:hAnsi="Times New Roman" w:eastAsia="Malgun Gothic"/>
                <w:szCs w:val="20"/>
                <w:lang w:eastAsia="ko-KR"/>
              </w:rPr>
              <w:t>HARQ-ACK of SPS PDSCH transmitted is not impacted by non-active period of cell DRX.</w:t>
            </w:r>
          </w:p>
        </w:tc>
      </w:tr>
    </w:tbl>
    <w:p>
      <w:pPr>
        <w:overflowPunct w:val="0"/>
        <w:autoSpaceDE w:val="0"/>
        <w:autoSpaceDN w:val="0"/>
        <w:adjustRightInd w:val="0"/>
        <w:spacing w:after="180"/>
        <w:textAlignment w:val="baseline"/>
        <w:rPr>
          <w:sz w:val="21"/>
          <w:szCs w:val="28"/>
        </w:rPr>
      </w:pPr>
    </w:p>
    <w:p>
      <w:pPr>
        <w:overflowPunct w:val="0"/>
        <w:autoSpaceDE w:val="0"/>
        <w:autoSpaceDN w:val="0"/>
        <w:adjustRightInd w:val="0"/>
        <w:spacing w:after="180"/>
        <w:textAlignment w:val="baseline"/>
        <w:rPr>
          <w:sz w:val="21"/>
          <w:szCs w:val="28"/>
        </w:rPr>
      </w:pPr>
      <w:r>
        <w:rPr>
          <w:sz w:val="21"/>
          <w:szCs w:val="28"/>
        </w:rPr>
        <w:t xml:space="preserve">It was also discussed about the operation for HARQ-ACK of SPS PDSCH not transmitted, but there were no consensus made. </w:t>
      </w:r>
    </w:p>
    <w:p>
      <w:pPr>
        <w:overflowPunct w:val="0"/>
        <w:autoSpaceDE w:val="0"/>
        <w:autoSpaceDN w:val="0"/>
        <w:adjustRightInd w:val="0"/>
        <w:spacing w:after="180"/>
        <w:textAlignment w:val="baseline"/>
        <w:rPr>
          <w:rFonts w:eastAsia="宋体"/>
          <w:sz w:val="21"/>
          <w:szCs w:val="28"/>
        </w:rPr>
      </w:pPr>
      <w:r>
        <w:rPr>
          <w:rFonts w:hint="eastAsia" w:eastAsia="宋体"/>
          <w:sz w:val="21"/>
          <w:szCs w:val="28"/>
        </w:rPr>
        <w:t>There are</w:t>
      </w:r>
      <w:r>
        <w:rPr>
          <w:rFonts w:eastAsia="宋体"/>
          <w:sz w:val="21"/>
          <w:szCs w:val="28"/>
        </w:rPr>
        <w:t xml:space="preserve"> two issues to be clarified, </w:t>
      </w:r>
    </w:p>
    <w:p>
      <w:pPr>
        <w:numPr>
          <w:ilvl w:val="0"/>
          <w:numId w:val="4"/>
        </w:numPr>
        <w:overflowPunct w:val="0"/>
        <w:autoSpaceDE w:val="0"/>
        <w:autoSpaceDN w:val="0"/>
        <w:adjustRightInd w:val="0"/>
        <w:spacing w:after="180"/>
        <w:textAlignment w:val="baseline"/>
        <w:rPr>
          <w:rFonts w:eastAsia="宋体"/>
          <w:sz w:val="21"/>
          <w:szCs w:val="28"/>
        </w:rPr>
      </w:pPr>
      <w:r>
        <w:rPr>
          <w:rFonts w:eastAsia="宋体"/>
          <w:sz w:val="21"/>
          <w:szCs w:val="28"/>
        </w:rPr>
        <w:t xml:space="preserve">Whether the HARQ-ACK bit will be generated for SPS overlapping with cell DTX non-active period. </w:t>
      </w:r>
    </w:p>
    <w:p>
      <w:pPr>
        <w:numPr>
          <w:ilvl w:val="0"/>
          <w:numId w:val="4"/>
        </w:numPr>
        <w:overflowPunct w:val="0"/>
        <w:autoSpaceDE w:val="0"/>
        <w:autoSpaceDN w:val="0"/>
        <w:adjustRightInd w:val="0"/>
        <w:spacing w:after="180"/>
        <w:textAlignment w:val="baseline"/>
        <w:rPr>
          <w:rFonts w:eastAsia="宋体"/>
          <w:sz w:val="21"/>
          <w:szCs w:val="28"/>
        </w:rPr>
      </w:pPr>
      <w:r>
        <w:rPr>
          <w:rFonts w:eastAsia="宋体"/>
          <w:sz w:val="21"/>
          <w:szCs w:val="28"/>
        </w:rPr>
        <w:t>Whether the HARQ-ACK transmission will be impacted by cell DRX non-active period.</w:t>
      </w:r>
    </w:p>
    <w:p>
      <w:pPr>
        <w:overflowPunct w:val="0"/>
        <w:autoSpaceDE w:val="0"/>
        <w:autoSpaceDN w:val="0"/>
        <w:adjustRightInd w:val="0"/>
        <w:spacing w:after="180"/>
        <w:textAlignment w:val="baseline"/>
        <w:rPr>
          <w:rFonts w:eastAsia="宋体"/>
          <w:sz w:val="21"/>
          <w:szCs w:val="28"/>
        </w:rPr>
      </w:pPr>
      <w:r>
        <w:rPr>
          <w:rFonts w:eastAsia="宋体"/>
          <w:sz w:val="21"/>
          <w:szCs w:val="28"/>
        </w:rPr>
        <w:t>For the 2</w:t>
      </w:r>
      <w:r>
        <w:rPr>
          <w:rFonts w:eastAsia="宋体"/>
          <w:sz w:val="21"/>
          <w:szCs w:val="28"/>
          <w:vertAlign w:val="superscript"/>
        </w:rPr>
        <w:t>nd</w:t>
      </w:r>
      <w:r>
        <w:rPr>
          <w:rFonts w:eastAsia="宋体"/>
          <w:sz w:val="21"/>
          <w:szCs w:val="28"/>
        </w:rPr>
        <w:t xml:space="preserve"> issue, we consider it natural to following existing conclusion that the HARQ-ACK transmission will not be impacted by cell DRX non-active period.</w:t>
      </w:r>
    </w:p>
    <w:p>
      <w:pPr>
        <w:overflowPunct w:val="0"/>
        <w:autoSpaceDE w:val="0"/>
        <w:autoSpaceDN w:val="0"/>
        <w:adjustRightInd w:val="0"/>
        <w:spacing w:after="180"/>
        <w:textAlignment w:val="baseline"/>
        <w:rPr>
          <w:sz w:val="21"/>
          <w:szCs w:val="28"/>
        </w:rPr>
      </w:pPr>
      <w:r>
        <w:rPr>
          <w:rFonts w:eastAsia="宋体"/>
          <w:sz w:val="21"/>
          <w:szCs w:val="28"/>
        </w:rPr>
        <w:t>For the 1</w:t>
      </w:r>
      <w:r>
        <w:rPr>
          <w:rFonts w:eastAsia="宋体"/>
          <w:sz w:val="21"/>
          <w:szCs w:val="28"/>
          <w:vertAlign w:val="superscript"/>
        </w:rPr>
        <w:t>st</w:t>
      </w:r>
      <w:r>
        <w:rPr>
          <w:rFonts w:eastAsia="宋体"/>
          <w:sz w:val="21"/>
          <w:szCs w:val="28"/>
        </w:rPr>
        <w:t xml:space="preserve"> issue, c</w:t>
      </w:r>
      <w:r>
        <w:rPr>
          <w:sz w:val="21"/>
          <w:szCs w:val="28"/>
        </w:rPr>
        <w:t xml:space="preserve">onsidering RAN2 agreement that “As baseline, UE doesn’t monitor SPS occasions during Cell DTX non-active period. As baseline, gNB is assumed to be not transmitting PDSCH to that UE on such SPS occasions during the Cell DTX non-active period”. </w:t>
      </w:r>
      <w:r>
        <w:rPr>
          <w:rFonts w:eastAsia="宋体"/>
          <w:sz w:val="21"/>
          <w:szCs w:val="28"/>
        </w:rPr>
        <w:t>The basic principle to treat SPS occasions overlapping with cell DTX non-active period is as same as those overlapping with symbols indicated as UL</w:t>
      </w:r>
      <w:r>
        <w:rPr>
          <w:rFonts w:eastAsia="宋体"/>
          <w:sz w:val="21"/>
          <w:szCs w:val="21"/>
        </w:rPr>
        <w:t xml:space="preserve"> </w:t>
      </w:r>
      <w:r>
        <w:rPr>
          <w:sz w:val="21"/>
          <w:szCs w:val="21"/>
        </w:rPr>
        <w:t xml:space="preserve"> by </w:t>
      </w:r>
      <w:r>
        <w:rPr>
          <w:i/>
          <w:sz w:val="21"/>
          <w:szCs w:val="21"/>
        </w:rPr>
        <w:t>tdd-UL-DL-ConfigurationCommon</w:t>
      </w:r>
      <w:r>
        <w:rPr>
          <w:sz w:val="21"/>
          <w:szCs w:val="21"/>
        </w:rPr>
        <w:t xml:space="preserve"> or by </w:t>
      </w:r>
      <w:r>
        <w:rPr>
          <w:i/>
          <w:sz w:val="21"/>
          <w:szCs w:val="21"/>
        </w:rPr>
        <w:t>tdd-UL-DL-ConfigurationDedicated.</w:t>
      </w:r>
    </w:p>
    <w:p>
      <w:pPr>
        <w:overflowPunct w:val="0"/>
        <w:autoSpaceDE w:val="0"/>
        <w:autoSpaceDN w:val="0"/>
        <w:adjustRightInd w:val="0"/>
        <w:spacing w:after="180"/>
        <w:textAlignment w:val="baseline"/>
        <w:rPr>
          <w:rFonts w:ascii="Times New Roman Bold" w:hAnsi="Times New Roman Bold" w:cs="Times New Roman Bold"/>
          <w:b/>
          <w:bCs/>
          <w:sz w:val="21"/>
          <w:szCs w:val="28"/>
        </w:rPr>
      </w:pPr>
      <w:r>
        <w:rPr>
          <w:rFonts w:ascii="Times New Roman Bold" w:hAnsi="Times New Roman Bold" w:cs="Times New Roman Bold"/>
          <w:b/>
          <w:bCs/>
          <w:sz w:val="21"/>
          <w:szCs w:val="28"/>
        </w:rPr>
        <w:t xml:space="preserve">Proposal 1: HARQ-ACK generation for SPS occasions overlapping with cell DTX non-active period follows legacy behavior as for SPS occasions overlapping with symbols indicated as UL by </w:t>
      </w:r>
      <w:r>
        <w:rPr>
          <w:rFonts w:ascii="Times New Roman Bold Italic" w:hAnsi="Times New Roman Bold Italic" w:cs="Times New Roman Bold Italic"/>
          <w:b/>
          <w:bCs/>
          <w:i/>
          <w:iCs/>
          <w:sz w:val="21"/>
          <w:szCs w:val="28"/>
        </w:rPr>
        <w:t>tdd-UL-DL-ConfigurationCommon</w:t>
      </w:r>
      <w:r>
        <w:rPr>
          <w:rFonts w:ascii="Times New Roman Bold" w:hAnsi="Times New Roman Bold" w:cs="Times New Roman Bold"/>
          <w:b/>
          <w:bCs/>
          <w:sz w:val="21"/>
          <w:szCs w:val="28"/>
        </w:rPr>
        <w:t xml:space="preserve"> or by </w:t>
      </w:r>
      <w:r>
        <w:rPr>
          <w:rFonts w:ascii="Times New Roman Bold Italic" w:hAnsi="Times New Roman Bold Italic" w:cs="Times New Roman Bold Italic"/>
          <w:b/>
          <w:bCs/>
          <w:i/>
          <w:iCs/>
          <w:sz w:val="21"/>
          <w:szCs w:val="28"/>
        </w:rPr>
        <w:t>tdd-UL-DL-ConfigurationDedicated</w:t>
      </w:r>
      <w:r>
        <w:rPr>
          <w:rFonts w:ascii="Times New Roman Bold" w:hAnsi="Times New Roman Bold" w:cs="Times New Roman Bold"/>
          <w:b/>
          <w:bCs/>
          <w:sz w:val="21"/>
          <w:szCs w:val="28"/>
        </w:rPr>
        <w:t>.</w:t>
      </w:r>
    </w:p>
    <w:p>
      <w:pPr>
        <w:overflowPunct w:val="0"/>
        <w:autoSpaceDE w:val="0"/>
        <w:autoSpaceDN w:val="0"/>
        <w:adjustRightInd w:val="0"/>
        <w:spacing w:after="180"/>
        <w:textAlignment w:val="baseline"/>
        <w:rPr>
          <w:rFonts w:ascii="Times New Roman Bold" w:hAnsi="Times New Roman Bold" w:cs="Times New Roman Bold"/>
          <w:b/>
          <w:bCs/>
          <w:sz w:val="21"/>
          <w:szCs w:val="28"/>
        </w:rPr>
      </w:pPr>
      <w:r>
        <w:rPr>
          <w:rFonts w:ascii="Times New Roman Bold" w:hAnsi="Times New Roman Bold" w:cs="Times New Roman Bold"/>
          <w:b/>
          <w:bCs/>
          <w:sz w:val="21"/>
          <w:szCs w:val="28"/>
        </w:rPr>
        <w:t xml:space="preserve">Proposal 2: HARQ-ACK transmission will not be impacted by cell DRX non-active period. </w:t>
      </w:r>
    </w:p>
    <w:p>
      <w:pPr>
        <w:overflowPunct w:val="0"/>
        <w:autoSpaceDE w:val="0"/>
        <w:autoSpaceDN w:val="0"/>
        <w:adjustRightInd w:val="0"/>
        <w:spacing w:after="180"/>
        <w:textAlignment w:val="baseline"/>
        <w:rPr>
          <w:sz w:val="21"/>
          <w:szCs w:val="28"/>
        </w:rPr>
      </w:pPr>
    </w:p>
    <w:p>
      <w:pPr>
        <w:pStyle w:val="3"/>
        <w:rPr>
          <w:sz w:val="28"/>
          <w:szCs w:val="28"/>
        </w:rPr>
      </w:pPr>
      <w:r>
        <w:rPr>
          <w:sz w:val="28"/>
          <w:szCs w:val="28"/>
        </w:rPr>
        <w:t xml:space="preserve"> CSI-RS for purposes other than CSI reporting</w:t>
      </w:r>
    </w:p>
    <w:p>
      <w:pPr>
        <w:overflowPunct w:val="0"/>
        <w:autoSpaceDE w:val="0"/>
        <w:autoSpaceDN w:val="0"/>
        <w:adjustRightInd w:val="0"/>
        <w:spacing w:after="180"/>
        <w:textAlignment w:val="baseline"/>
        <w:rPr>
          <w:sz w:val="21"/>
          <w:szCs w:val="28"/>
        </w:rPr>
      </w:pPr>
      <w:r>
        <w:rPr>
          <w:sz w:val="21"/>
          <w:szCs w:val="28"/>
        </w:rPr>
        <w:t>In RAN1 #114 meeting, there were some conclusions that PRS is not impacted by non-active period of cell DTX, however, for CSI-RS other than for CSI reporting, no agreements or conclusion reached yet. We reiterate our positions on corresponding signals/channels in the following of the section.</w:t>
      </w:r>
    </w:p>
    <w:p>
      <w:pPr>
        <w:rPr>
          <w:sz w:val="21"/>
          <w:szCs w:val="21"/>
        </w:rPr>
      </w:pPr>
      <w:r>
        <w:rPr>
          <w:sz w:val="21"/>
          <w:szCs w:val="21"/>
        </w:rPr>
        <w:t>For TRS, it is required that CONNECTED UE will always receive a TRS configuration as described in 38.213, “</w:t>
      </w:r>
      <w:bookmarkStart w:id="0" w:name="_Hlk513060382"/>
      <w:r>
        <w:rPr>
          <w:rFonts w:eastAsia="宋体"/>
          <w:sz w:val="21"/>
          <w:szCs w:val="21"/>
          <w:lang w:val="en-GB" w:eastAsia="en-US"/>
        </w:rPr>
        <w:t xml:space="preserve">A UE in RRC connected mode is expected to receive the higher layer UE specific configuration of a </w:t>
      </w:r>
      <w:r>
        <w:rPr>
          <w:rFonts w:eastAsia="宋体"/>
          <w:i/>
          <w:sz w:val="21"/>
          <w:szCs w:val="21"/>
          <w:lang w:val="en-GB" w:eastAsia="en-US"/>
        </w:rPr>
        <w:t>NZP-CSI-RS-ResourceSet</w:t>
      </w:r>
      <w:r>
        <w:rPr>
          <w:rFonts w:eastAsia="宋体"/>
          <w:sz w:val="21"/>
          <w:szCs w:val="21"/>
          <w:lang w:val="en-GB" w:eastAsia="en-US"/>
        </w:rPr>
        <w:t xml:space="preserve"> configured with higher layer parameter </w:t>
      </w:r>
      <w:r>
        <w:rPr>
          <w:rFonts w:eastAsia="宋体"/>
          <w:i/>
          <w:sz w:val="21"/>
          <w:szCs w:val="21"/>
          <w:lang w:val="en-GB" w:eastAsia="en-US"/>
        </w:rPr>
        <w:t>trs-Info</w:t>
      </w:r>
      <w:r>
        <w:rPr>
          <w:rFonts w:eastAsia="宋体"/>
          <w:sz w:val="21"/>
          <w:szCs w:val="21"/>
          <w:lang w:val="en-GB" w:eastAsia="en-US"/>
        </w:rPr>
        <w:t>.</w:t>
      </w:r>
      <w:bookmarkEnd w:id="0"/>
      <w:r>
        <w:rPr>
          <w:sz w:val="21"/>
          <w:szCs w:val="21"/>
        </w:rPr>
        <w:t xml:space="preserve">” What's more, in Rel-17 WI of UE power saving enhancement, IDLE/INACTIVE UEs can also be configured to use TRS. And the WID objective has a NOTE that impact to IDLE/INACTIVE UEs should be avoided. </w:t>
      </w:r>
    </w:p>
    <w:p>
      <w:pPr>
        <w:rPr>
          <w:sz w:val="21"/>
          <w:szCs w:val="21"/>
        </w:rPr>
      </w:pPr>
      <w:r>
        <w:rPr>
          <w:sz w:val="21"/>
          <w:szCs w:val="21"/>
        </w:rPr>
        <w:t>To not impact legacy UEs that do not support NES feature, it is proposed that TRS is still maintained during non-active duration of cell DTX.</w:t>
      </w:r>
    </w:p>
    <w:p>
      <w:pPr>
        <w:rPr>
          <w:b/>
          <w:bCs/>
          <w:sz w:val="21"/>
          <w:szCs w:val="21"/>
        </w:rPr>
      </w:pPr>
      <w:r>
        <w:rPr>
          <w:b/>
          <w:bCs/>
          <w:sz w:val="21"/>
          <w:szCs w:val="21"/>
        </w:rPr>
        <w:t>Proposal 3: To not impact legacy UEs that do not support NES feature, TRS is still maintained during non-active duration of cell DTX.</w:t>
      </w:r>
    </w:p>
    <w:p>
      <w:pPr>
        <w:rPr>
          <w:sz w:val="21"/>
          <w:szCs w:val="21"/>
        </w:rPr>
      </w:pPr>
      <w:r>
        <w:rPr>
          <w:rFonts w:hint="eastAsia"/>
          <w:sz w:val="21"/>
          <w:szCs w:val="21"/>
        </w:rPr>
        <w:t>F</w:t>
      </w:r>
      <w:r>
        <w:rPr>
          <w:sz w:val="21"/>
          <w:szCs w:val="21"/>
        </w:rPr>
        <w:t xml:space="preserve">or CSI-RS for L1-RSRP/SINR measurement, RRM and RLM, although not explicitly required as TRS, they do have impacts especially on UE measurement latency requirement. Currently, UE measurement requirements have all be made assuming that CSI-RS are still transmitted although with UE DRX configured. As can be seen from the RAN4 requirement (take the CSI-RS for RLM as an example, Table 8.1.3.2-1 in TS38.133), only the CSI-RS periodicity and UE DRX cycle is considered in the requirement design so far with a basic assumption that when configured, CSI-RS will always be transmitted and it is up to UE implementation to determine which CSI-RS occasion to collect the measurement samples on. </w:t>
      </w:r>
    </w:p>
    <w:p>
      <w:pPr>
        <w:pStyle w:val="67"/>
        <w:rPr>
          <w:sz w:val="18"/>
          <w:szCs w:val="18"/>
        </w:rPr>
      </w:pPr>
      <w:r>
        <w:rPr>
          <w:sz w:val="18"/>
          <w:szCs w:val="18"/>
        </w:rPr>
        <w:t>TS38.133 Table 8.1.3.2-1: Evaluation period T</w:t>
      </w:r>
      <w:r>
        <w:rPr>
          <w:sz w:val="18"/>
          <w:szCs w:val="18"/>
          <w:vertAlign w:val="subscript"/>
        </w:rPr>
        <w:t>Evaluate_out_CSI-RS</w:t>
      </w:r>
      <w:r>
        <w:rPr>
          <w:sz w:val="18"/>
          <w:szCs w:val="18"/>
        </w:rPr>
        <w:t xml:space="preserve"> and T</w:t>
      </w:r>
      <w:r>
        <w:rPr>
          <w:sz w:val="18"/>
          <w:szCs w:val="18"/>
          <w:vertAlign w:val="subscript"/>
        </w:rPr>
        <w:t>Evaluate_in_CSI-RS</w:t>
      </w:r>
      <w:r>
        <w:rPr>
          <w:sz w:val="18"/>
          <w:szCs w:val="18"/>
        </w:rPr>
        <w:t xml:space="preserve"> for FR1</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65"/>
        <w:gridCol w:w="3243"/>
        <w:gridCol w:w="3628"/>
      </w:tblGrid>
      <w:tr>
        <w:trPr>
          <w:jc w:val="center"/>
        </w:trPr>
        <w:tc>
          <w:tcPr>
            <w:tcW w:w="2375" w:type="dxa"/>
            <w:shd w:val="clear" w:color="auto" w:fill="auto"/>
          </w:tcPr>
          <w:p>
            <w:pPr>
              <w:pStyle w:val="61"/>
              <w:rPr>
                <w:sz w:val="16"/>
                <w:szCs w:val="18"/>
              </w:rPr>
            </w:pPr>
            <w:r>
              <w:rPr>
                <w:sz w:val="16"/>
                <w:szCs w:val="18"/>
              </w:rPr>
              <w:t>Configuration</w:t>
            </w:r>
          </w:p>
        </w:tc>
        <w:tc>
          <w:tcPr>
            <w:tcW w:w="3260" w:type="dxa"/>
            <w:shd w:val="clear" w:color="auto" w:fill="auto"/>
          </w:tcPr>
          <w:p>
            <w:pPr>
              <w:pStyle w:val="61"/>
              <w:rPr>
                <w:sz w:val="16"/>
                <w:szCs w:val="18"/>
              </w:rPr>
            </w:pPr>
            <w:r>
              <w:rPr>
                <w:sz w:val="16"/>
                <w:szCs w:val="18"/>
              </w:rPr>
              <w:t>T</w:t>
            </w:r>
            <w:r>
              <w:rPr>
                <w:sz w:val="16"/>
                <w:szCs w:val="18"/>
                <w:vertAlign w:val="subscript"/>
              </w:rPr>
              <w:t>Evaluate_out_CSI-RS</w:t>
            </w:r>
            <w:r>
              <w:rPr>
                <w:sz w:val="16"/>
                <w:szCs w:val="18"/>
              </w:rPr>
              <w:t xml:space="preserve"> (ms) </w:t>
            </w:r>
          </w:p>
        </w:tc>
        <w:tc>
          <w:tcPr>
            <w:tcW w:w="3649" w:type="dxa"/>
            <w:shd w:val="clear" w:color="auto" w:fill="auto"/>
          </w:tcPr>
          <w:p>
            <w:pPr>
              <w:pStyle w:val="61"/>
              <w:rPr>
                <w:sz w:val="16"/>
                <w:szCs w:val="18"/>
              </w:rPr>
            </w:pPr>
            <w:r>
              <w:rPr>
                <w:sz w:val="16"/>
                <w:szCs w:val="18"/>
              </w:rPr>
              <w:t>T</w:t>
            </w:r>
            <w:r>
              <w:rPr>
                <w:sz w:val="16"/>
                <w:szCs w:val="18"/>
                <w:vertAlign w:val="subscript"/>
              </w:rPr>
              <w:t>Evaluate_in_CSI-RS</w:t>
            </w:r>
            <w:r>
              <w:rPr>
                <w:sz w:val="16"/>
                <w:szCs w:val="18"/>
              </w:rPr>
              <w:t xml:space="preserve"> (ms) </w:t>
            </w:r>
          </w:p>
        </w:tc>
      </w:tr>
      <w:tr>
        <w:trPr>
          <w:jc w:val="center"/>
        </w:trPr>
        <w:tc>
          <w:tcPr>
            <w:tcW w:w="2375" w:type="dxa"/>
            <w:shd w:val="clear" w:color="auto" w:fill="auto"/>
          </w:tcPr>
          <w:p>
            <w:pPr>
              <w:pStyle w:val="62"/>
              <w:rPr>
                <w:sz w:val="16"/>
                <w:szCs w:val="18"/>
              </w:rPr>
            </w:pPr>
            <w:r>
              <w:rPr>
                <w:sz w:val="16"/>
                <w:szCs w:val="18"/>
              </w:rPr>
              <w:t>no DRX</w:t>
            </w:r>
          </w:p>
        </w:tc>
        <w:tc>
          <w:tcPr>
            <w:tcW w:w="3260" w:type="dxa"/>
            <w:shd w:val="clear" w:color="auto" w:fill="auto"/>
          </w:tcPr>
          <w:p>
            <w:pPr>
              <w:pStyle w:val="62"/>
              <w:rPr>
                <w:sz w:val="16"/>
                <w:szCs w:val="18"/>
                <w:lang w:val="fr-FR"/>
              </w:rPr>
            </w:pPr>
            <w:r>
              <w:rPr>
                <w:rFonts w:cs="v4.2.0"/>
                <w:sz w:val="16"/>
                <w:szCs w:val="18"/>
                <w:lang w:val="fr-FR"/>
              </w:rPr>
              <w:t>Max(200, Ceil(M</w:t>
            </w:r>
            <w:r>
              <w:rPr>
                <w:rFonts w:cs="v4.2.0"/>
                <w:sz w:val="16"/>
                <w:szCs w:val="18"/>
                <w:vertAlign w:val="subscript"/>
                <w:lang w:val="fr-FR"/>
              </w:rPr>
              <w:t>out</w:t>
            </w:r>
            <w:r>
              <w:rPr>
                <w:rFonts w:cs="Arial"/>
                <w:sz w:val="16"/>
                <w:szCs w:val="18"/>
                <w:lang w:val="fr-FR"/>
              </w:rPr>
              <w:t>×P</w:t>
            </w:r>
            <w:r>
              <w:rPr>
                <w:rFonts w:cs="v4.2.0"/>
                <w:sz w:val="16"/>
                <w:szCs w:val="18"/>
                <w:lang w:val="fr-FR"/>
              </w:rPr>
              <w:t>)</w:t>
            </w:r>
            <w:r>
              <w:rPr>
                <w:rFonts w:cs="Arial"/>
                <w:sz w:val="16"/>
                <w:szCs w:val="18"/>
                <w:lang w:val="fr-FR"/>
              </w:rPr>
              <w:t>×</w:t>
            </w:r>
            <w:r>
              <w:rPr>
                <w:rFonts w:cs="v4.2.0"/>
                <w:sz w:val="16"/>
                <w:szCs w:val="18"/>
                <w:lang w:val="fr-FR"/>
              </w:rPr>
              <w:t>T</w:t>
            </w:r>
            <w:r>
              <w:rPr>
                <w:rFonts w:cs="v4.2.0"/>
                <w:sz w:val="16"/>
                <w:szCs w:val="18"/>
                <w:vertAlign w:val="subscript"/>
                <w:lang w:val="fr-FR"/>
              </w:rPr>
              <w:t>CSI-RS</w:t>
            </w:r>
            <w:r>
              <w:rPr>
                <w:rFonts w:cs="v4.2.0"/>
                <w:sz w:val="16"/>
                <w:szCs w:val="18"/>
                <w:lang w:val="fr-FR"/>
              </w:rPr>
              <w:t>)</w:t>
            </w:r>
          </w:p>
        </w:tc>
        <w:tc>
          <w:tcPr>
            <w:tcW w:w="3649" w:type="dxa"/>
            <w:shd w:val="clear" w:color="auto" w:fill="auto"/>
          </w:tcPr>
          <w:p>
            <w:pPr>
              <w:pStyle w:val="62"/>
              <w:rPr>
                <w:sz w:val="16"/>
                <w:szCs w:val="18"/>
                <w:lang w:val="sv-SE"/>
              </w:rPr>
            </w:pPr>
            <w:r>
              <w:rPr>
                <w:sz w:val="16"/>
                <w:szCs w:val="18"/>
                <w:lang w:val="sv-SE"/>
              </w:rPr>
              <w:t xml:space="preserve">Max(100, </w:t>
            </w:r>
            <w:r>
              <w:rPr>
                <w:rFonts w:cs="v4.2.0"/>
                <w:sz w:val="16"/>
                <w:szCs w:val="18"/>
                <w:lang w:val="sv-SE"/>
              </w:rPr>
              <w:t>Ceil(M</w:t>
            </w:r>
            <w:r>
              <w:rPr>
                <w:rFonts w:cs="v4.2.0"/>
                <w:sz w:val="16"/>
                <w:szCs w:val="18"/>
                <w:vertAlign w:val="subscript"/>
                <w:lang w:val="sv-SE"/>
              </w:rPr>
              <w:t>in</w:t>
            </w:r>
            <w:r>
              <w:rPr>
                <w:rFonts w:cs="Arial"/>
                <w:sz w:val="16"/>
                <w:szCs w:val="18"/>
                <w:lang w:val="sv-SE"/>
              </w:rPr>
              <w:t>×P</w:t>
            </w:r>
            <w:r>
              <w:rPr>
                <w:rFonts w:cs="v4.2.0"/>
                <w:sz w:val="16"/>
                <w:szCs w:val="18"/>
                <w:lang w:val="sv-SE"/>
              </w:rPr>
              <w:t>)</w:t>
            </w:r>
            <w:r>
              <w:rPr>
                <w:rFonts w:cs="Arial"/>
                <w:sz w:val="16"/>
                <w:szCs w:val="18"/>
                <w:lang w:val="sv-SE"/>
              </w:rPr>
              <w:t xml:space="preserve"> ×</w:t>
            </w:r>
            <w:r>
              <w:rPr>
                <w:rFonts w:cs="v4.2.0"/>
                <w:sz w:val="16"/>
                <w:szCs w:val="18"/>
                <w:lang w:val="sv-SE"/>
              </w:rPr>
              <w:t xml:space="preserve"> T</w:t>
            </w:r>
            <w:r>
              <w:rPr>
                <w:rFonts w:cs="v4.2.0"/>
                <w:sz w:val="16"/>
                <w:szCs w:val="18"/>
                <w:vertAlign w:val="subscript"/>
                <w:lang w:val="sv-SE"/>
              </w:rPr>
              <w:t>CSI-RS</w:t>
            </w:r>
            <w:r>
              <w:rPr>
                <w:sz w:val="16"/>
                <w:szCs w:val="18"/>
                <w:lang w:val="sv-SE"/>
              </w:rPr>
              <w:t>)</w:t>
            </w:r>
          </w:p>
        </w:tc>
      </w:tr>
      <w:tr>
        <w:trPr>
          <w:jc w:val="center"/>
        </w:trPr>
        <w:tc>
          <w:tcPr>
            <w:tcW w:w="2375" w:type="dxa"/>
            <w:shd w:val="clear" w:color="auto" w:fill="auto"/>
          </w:tcPr>
          <w:p>
            <w:pPr>
              <w:pStyle w:val="62"/>
              <w:rPr>
                <w:sz w:val="16"/>
                <w:szCs w:val="18"/>
              </w:rPr>
            </w:pPr>
            <w:r>
              <w:rPr>
                <w:sz w:val="16"/>
                <w:szCs w:val="18"/>
              </w:rPr>
              <w:t xml:space="preserve">DRX </w:t>
            </w:r>
            <w:r>
              <w:rPr>
                <w:rFonts w:hint="eastAsia" w:cs="Arial"/>
                <w:sz w:val="16"/>
                <w:szCs w:val="18"/>
              </w:rPr>
              <w:t>≤</w:t>
            </w:r>
            <w:r>
              <w:rPr>
                <w:rFonts w:cs="Arial"/>
                <w:sz w:val="16"/>
                <w:szCs w:val="18"/>
              </w:rPr>
              <w:t xml:space="preserve"> </w:t>
            </w:r>
            <w:r>
              <w:rPr>
                <w:sz w:val="16"/>
                <w:szCs w:val="18"/>
              </w:rPr>
              <w:t>320ms</w:t>
            </w:r>
          </w:p>
        </w:tc>
        <w:tc>
          <w:tcPr>
            <w:tcW w:w="3260" w:type="dxa"/>
            <w:shd w:val="clear" w:color="auto" w:fill="auto"/>
          </w:tcPr>
          <w:p>
            <w:pPr>
              <w:pStyle w:val="62"/>
              <w:rPr>
                <w:sz w:val="16"/>
                <w:szCs w:val="18"/>
                <w:lang w:val="fr-FR"/>
              </w:rPr>
            </w:pPr>
            <w:r>
              <w:rPr>
                <w:rFonts w:cs="v4.2.0"/>
                <w:sz w:val="16"/>
                <w:szCs w:val="18"/>
                <w:lang w:val="fr-FR"/>
              </w:rPr>
              <w:t>Max(200, Ceil(1.5</w:t>
            </w:r>
            <w:r>
              <w:rPr>
                <w:rFonts w:cs="Arial"/>
                <w:sz w:val="16"/>
                <w:szCs w:val="18"/>
                <w:lang w:val="fr-FR"/>
              </w:rPr>
              <w:t>×</w:t>
            </w:r>
            <w:r>
              <w:rPr>
                <w:rFonts w:cs="v4.2.0"/>
                <w:sz w:val="16"/>
                <w:szCs w:val="18"/>
                <w:lang w:val="fr-FR"/>
              </w:rPr>
              <w:t>M</w:t>
            </w:r>
            <w:r>
              <w:rPr>
                <w:rFonts w:cs="v4.2.0"/>
                <w:sz w:val="16"/>
                <w:szCs w:val="18"/>
                <w:vertAlign w:val="subscript"/>
                <w:lang w:val="fr-FR"/>
              </w:rPr>
              <w:t>out</w:t>
            </w:r>
            <w:r>
              <w:rPr>
                <w:rFonts w:cs="Arial"/>
                <w:sz w:val="16"/>
                <w:szCs w:val="18"/>
                <w:lang w:val="fr-FR"/>
              </w:rPr>
              <w:t>×P</w:t>
            </w:r>
            <w:r>
              <w:rPr>
                <w:rFonts w:cs="v4.2.0"/>
                <w:sz w:val="16"/>
                <w:szCs w:val="18"/>
                <w:lang w:val="fr-FR"/>
              </w:rPr>
              <w:t>)</w:t>
            </w:r>
            <w:r>
              <w:rPr>
                <w:rFonts w:cs="Arial"/>
                <w:sz w:val="16"/>
                <w:szCs w:val="18"/>
                <w:lang w:val="fr-FR"/>
              </w:rPr>
              <w:t xml:space="preserve">× </w:t>
            </w:r>
            <w:r>
              <w:rPr>
                <w:rFonts w:cs="v4.2.0"/>
                <w:sz w:val="16"/>
                <w:szCs w:val="18"/>
                <w:lang w:val="fr-FR"/>
              </w:rPr>
              <w:t>Max(T</w:t>
            </w:r>
            <w:r>
              <w:rPr>
                <w:rFonts w:cs="v4.2.0"/>
                <w:sz w:val="16"/>
                <w:szCs w:val="18"/>
                <w:vertAlign w:val="subscript"/>
                <w:lang w:val="fr-FR"/>
              </w:rPr>
              <w:t>DRX</w:t>
            </w:r>
            <w:r>
              <w:rPr>
                <w:rFonts w:cs="v4.2.0"/>
                <w:sz w:val="16"/>
                <w:szCs w:val="18"/>
                <w:lang w:val="fr-FR"/>
              </w:rPr>
              <w:t>, T</w:t>
            </w:r>
            <w:r>
              <w:rPr>
                <w:rFonts w:cs="v4.2.0"/>
                <w:sz w:val="16"/>
                <w:szCs w:val="18"/>
                <w:vertAlign w:val="subscript"/>
                <w:lang w:val="fr-FR"/>
              </w:rPr>
              <w:t>CSI-RS</w:t>
            </w:r>
            <w:r>
              <w:rPr>
                <w:rFonts w:cs="v4.2.0"/>
                <w:sz w:val="16"/>
                <w:szCs w:val="18"/>
                <w:lang w:val="fr-FR"/>
              </w:rPr>
              <w:t>))</w:t>
            </w:r>
          </w:p>
        </w:tc>
        <w:tc>
          <w:tcPr>
            <w:tcW w:w="3649" w:type="dxa"/>
            <w:shd w:val="clear" w:color="auto" w:fill="auto"/>
          </w:tcPr>
          <w:p>
            <w:pPr>
              <w:pStyle w:val="62"/>
              <w:rPr>
                <w:sz w:val="16"/>
                <w:szCs w:val="18"/>
                <w:lang w:val="fr-FR"/>
              </w:rPr>
            </w:pPr>
            <w:r>
              <w:rPr>
                <w:rFonts w:cs="v4.2.0"/>
                <w:sz w:val="16"/>
                <w:szCs w:val="18"/>
                <w:lang w:val="fr-FR"/>
              </w:rPr>
              <w:t>Max(100, Ceil(1.5</w:t>
            </w:r>
            <w:r>
              <w:rPr>
                <w:rFonts w:cs="Arial"/>
                <w:sz w:val="16"/>
                <w:szCs w:val="18"/>
                <w:lang w:val="fr-FR"/>
              </w:rPr>
              <w:t>×</w:t>
            </w:r>
            <w:r>
              <w:rPr>
                <w:rFonts w:cs="v4.2.0"/>
                <w:sz w:val="16"/>
                <w:szCs w:val="18"/>
                <w:lang w:val="fr-FR"/>
              </w:rPr>
              <w:t>M</w:t>
            </w:r>
            <w:r>
              <w:rPr>
                <w:rFonts w:cs="v4.2.0"/>
                <w:sz w:val="16"/>
                <w:szCs w:val="18"/>
                <w:vertAlign w:val="subscript"/>
                <w:lang w:val="fr-FR"/>
              </w:rPr>
              <w:t>in</w:t>
            </w:r>
            <w:r>
              <w:rPr>
                <w:rFonts w:cs="Arial"/>
                <w:sz w:val="16"/>
                <w:szCs w:val="18"/>
                <w:lang w:val="fr-FR"/>
              </w:rPr>
              <w:t>×P</w:t>
            </w:r>
            <w:r>
              <w:rPr>
                <w:rFonts w:cs="v4.2.0"/>
                <w:sz w:val="16"/>
                <w:szCs w:val="18"/>
                <w:lang w:val="fr-FR"/>
              </w:rPr>
              <w:t>)</w:t>
            </w:r>
            <w:r>
              <w:rPr>
                <w:rFonts w:cs="Arial"/>
                <w:sz w:val="16"/>
                <w:szCs w:val="18"/>
                <w:lang w:val="fr-FR"/>
              </w:rPr>
              <w:t xml:space="preserve">× </w:t>
            </w:r>
            <w:r>
              <w:rPr>
                <w:rFonts w:cs="v4.2.0"/>
                <w:sz w:val="16"/>
                <w:szCs w:val="18"/>
                <w:lang w:val="fr-FR"/>
              </w:rPr>
              <w:t>Max(T</w:t>
            </w:r>
            <w:r>
              <w:rPr>
                <w:rFonts w:cs="v4.2.0"/>
                <w:sz w:val="16"/>
                <w:szCs w:val="18"/>
                <w:vertAlign w:val="subscript"/>
                <w:lang w:val="fr-FR"/>
              </w:rPr>
              <w:t>DRX</w:t>
            </w:r>
            <w:r>
              <w:rPr>
                <w:rFonts w:cs="v4.2.0"/>
                <w:sz w:val="16"/>
                <w:szCs w:val="18"/>
                <w:lang w:val="fr-FR"/>
              </w:rPr>
              <w:t>, T</w:t>
            </w:r>
            <w:r>
              <w:rPr>
                <w:rFonts w:cs="v4.2.0"/>
                <w:sz w:val="16"/>
                <w:szCs w:val="18"/>
                <w:vertAlign w:val="subscript"/>
                <w:lang w:val="fr-FR"/>
              </w:rPr>
              <w:t>CSI-RS</w:t>
            </w:r>
            <w:r>
              <w:rPr>
                <w:rFonts w:cs="v4.2.0"/>
                <w:sz w:val="16"/>
                <w:szCs w:val="18"/>
                <w:lang w:val="fr-FR"/>
              </w:rPr>
              <w:t>))</w:t>
            </w:r>
          </w:p>
        </w:tc>
      </w:tr>
      <w:tr>
        <w:trPr>
          <w:jc w:val="center"/>
        </w:trPr>
        <w:tc>
          <w:tcPr>
            <w:tcW w:w="2375" w:type="dxa"/>
            <w:shd w:val="clear" w:color="auto" w:fill="auto"/>
          </w:tcPr>
          <w:p>
            <w:pPr>
              <w:pStyle w:val="62"/>
              <w:rPr>
                <w:sz w:val="16"/>
                <w:szCs w:val="18"/>
              </w:rPr>
            </w:pPr>
            <w:r>
              <w:rPr>
                <w:sz w:val="16"/>
                <w:szCs w:val="18"/>
              </w:rPr>
              <w:t xml:space="preserve">DRX </w:t>
            </w:r>
            <w:r>
              <w:rPr>
                <w:rFonts w:cs="Arial"/>
                <w:sz w:val="16"/>
                <w:szCs w:val="18"/>
              </w:rPr>
              <w:t xml:space="preserve">&gt; </w:t>
            </w:r>
            <w:r>
              <w:rPr>
                <w:sz w:val="16"/>
                <w:szCs w:val="18"/>
              </w:rPr>
              <w:t>320ms</w:t>
            </w:r>
          </w:p>
        </w:tc>
        <w:tc>
          <w:tcPr>
            <w:tcW w:w="3260" w:type="dxa"/>
            <w:shd w:val="clear" w:color="auto" w:fill="auto"/>
          </w:tcPr>
          <w:p>
            <w:pPr>
              <w:pStyle w:val="62"/>
              <w:rPr>
                <w:sz w:val="16"/>
                <w:szCs w:val="18"/>
              </w:rPr>
            </w:pPr>
            <w:r>
              <w:rPr>
                <w:rFonts w:cs="v4.2.0"/>
                <w:sz w:val="16"/>
                <w:szCs w:val="18"/>
              </w:rPr>
              <w:t>Ceil(M</w:t>
            </w:r>
            <w:r>
              <w:rPr>
                <w:rFonts w:cs="v4.2.0"/>
                <w:sz w:val="16"/>
                <w:szCs w:val="18"/>
                <w:vertAlign w:val="subscript"/>
              </w:rPr>
              <w:t>out</w:t>
            </w:r>
            <w:r>
              <w:rPr>
                <w:rFonts w:cs="Arial"/>
                <w:sz w:val="16"/>
                <w:szCs w:val="18"/>
              </w:rPr>
              <w:t>×P</w:t>
            </w:r>
            <w:r>
              <w:rPr>
                <w:rFonts w:cs="v4.2.0"/>
                <w:sz w:val="16"/>
                <w:szCs w:val="18"/>
              </w:rPr>
              <w:t xml:space="preserve">) </w:t>
            </w:r>
            <w:r>
              <w:rPr>
                <w:rFonts w:cs="Arial"/>
                <w:sz w:val="16"/>
                <w:szCs w:val="18"/>
              </w:rPr>
              <w:t xml:space="preserve">× </w:t>
            </w:r>
            <w:r>
              <w:rPr>
                <w:rFonts w:cs="v4.2.0"/>
                <w:sz w:val="16"/>
                <w:szCs w:val="18"/>
              </w:rPr>
              <w:t>T</w:t>
            </w:r>
            <w:r>
              <w:rPr>
                <w:rFonts w:cs="v4.2.0"/>
                <w:sz w:val="16"/>
                <w:szCs w:val="18"/>
                <w:vertAlign w:val="subscript"/>
              </w:rPr>
              <w:t>DRX</w:t>
            </w:r>
          </w:p>
        </w:tc>
        <w:tc>
          <w:tcPr>
            <w:tcW w:w="3649" w:type="dxa"/>
            <w:shd w:val="clear" w:color="auto" w:fill="auto"/>
          </w:tcPr>
          <w:p>
            <w:pPr>
              <w:pStyle w:val="62"/>
              <w:rPr>
                <w:sz w:val="16"/>
                <w:szCs w:val="18"/>
              </w:rPr>
            </w:pPr>
            <w:r>
              <w:rPr>
                <w:rFonts w:cs="v4.2.0"/>
                <w:sz w:val="16"/>
                <w:szCs w:val="18"/>
              </w:rPr>
              <w:t>Ceil(M</w:t>
            </w:r>
            <w:r>
              <w:rPr>
                <w:rFonts w:cs="v4.2.0"/>
                <w:sz w:val="16"/>
                <w:szCs w:val="18"/>
                <w:vertAlign w:val="subscript"/>
              </w:rPr>
              <w:t>in</w:t>
            </w:r>
            <w:r>
              <w:rPr>
                <w:rFonts w:cs="Arial"/>
                <w:sz w:val="16"/>
                <w:szCs w:val="18"/>
              </w:rPr>
              <w:t>×P</w:t>
            </w:r>
            <w:r>
              <w:rPr>
                <w:rFonts w:cs="v4.2.0"/>
                <w:sz w:val="16"/>
                <w:szCs w:val="18"/>
              </w:rPr>
              <w:t xml:space="preserve">) </w:t>
            </w:r>
            <w:r>
              <w:rPr>
                <w:rFonts w:cs="Arial"/>
                <w:sz w:val="16"/>
                <w:szCs w:val="18"/>
              </w:rPr>
              <w:t xml:space="preserve">× </w:t>
            </w:r>
            <w:r>
              <w:rPr>
                <w:rFonts w:cs="v4.2.0"/>
                <w:sz w:val="16"/>
                <w:szCs w:val="18"/>
              </w:rPr>
              <w:t>T</w:t>
            </w:r>
            <w:r>
              <w:rPr>
                <w:rFonts w:cs="v4.2.0"/>
                <w:sz w:val="16"/>
                <w:szCs w:val="18"/>
                <w:vertAlign w:val="subscript"/>
              </w:rPr>
              <w:t>DRX</w:t>
            </w:r>
          </w:p>
        </w:tc>
      </w:tr>
      <w:tr>
        <w:trPr>
          <w:jc w:val="center"/>
        </w:trPr>
        <w:tc>
          <w:tcPr>
            <w:tcW w:w="9284" w:type="dxa"/>
            <w:gridSpan w:val="3"/>
            <w:shd w:val="clear" w:color="auto" w:fill="auto"/>
          </w:tcPr>
          <w:p>
            <w:pPr>
              <w:pStyle w:val="94"/>
              <w:rPr>
                <w:sz w:val="16"/>
                <w:szCs w:val="18"/>
              </w:rPr>
            </w:pPr>
            <w:r>
              <w:rPr>
                <w:sz w:val="16"/>
                <w:szCs w:val="18"/>
              </w:rPr>
              <w:t>N</w:t>
            </w:r>
            <w:r>
              <w:rPr>
                <w:sz w:val="16"/>
                <w:szCs w:val="18"/>
                <w:lang w:eastAsia="ko-KR"/>
              </w:rPr>
              <w:t>OTE</w:t>
            </w:r>
            <w:r>
              <w:rPr>
                <w:sz w:val="16"/>
                <w:szCs w:val="18"/>
              </w:rPr>
              <w:t>:</w:t>
            </w:r>
            <w:r>
              <w:rPr>
                <w:sz w:val="24"/>
                <w:szCs w:val="18"/>
              </w:rPr>
              <w:tab/>
            </w:r>
            <w:r>
              <w:rPr>
                <w:rFonts w:cs="v4.2.0"/>
                <w:sz w:val="16"/>
                <w:szCs w:val="18"/>
              </w:rPr>
              <w:t>T</w:t>
            </w:r>
            <w:r>
              <w:rPr>
                <w:rFonts w:cs="v4.2.0"/>
                <w:sz w:val="16"/>
                <w:szCs w:val="18"/>
                <w:vertAlign w:val="subscript"/>
              </w:rPr>
              <w:t>CSI-RS</w:t>
            </w:r>
            <w:r>
              <w:rPr>
                <w:sz w:val="16"/>
                <w:szCs w:val="18"/>
              </w:rPr>
              <w:t xml:space="preserve"> is the periodicity of the CSI-RS resource configured for RLM. The requirements in this table apply for </w:t>
            </w:r>
            <w:r>
              <w:rPr>
                <w:rFonts w:cs="v4.2.0"/>
                <w:sz w:val="16"/>
                <w:szCs w:val="18"/>
              </w:rPr>
              <w:t>T</w:t>
            </w:r>
            <w:r>
              <w:rPr>
                <w:rFonts w:cs="v4.2.0"/>
                <w:sz w:val="16"/>
                <w:szCs w:val="18"/>
                <w:vertAlign w:val="subscript"/>
              </w:rPr>
              <w:t>CSI-RS</w:t>
            </w:r>
            <w:r>
              <w:rPr>
                <w:sz w:val="16"/>
                <w:szCs w:val="18"/>
              </w:rPr>
              <w:t xml:space="preserve"> equal to 5 ms, 10ms, 20 ms or 40 ms.</w:t>
            </w:r>
            <w:r>
              <w:rPr>
                <w:rFonts w:cs="v4.2.0"/>
                <w:sz w:val="16"/>
                <w:szCs w:val="18"/>
              </w:rPr>
              <w:t xml:space="preserve"> T</w:t>
            </w:r>
            <w:r>
              <w:rPr>
                <w:rFonts w:cs="v4.2.0"/>
                <w:sz w:val="16"/>
                <w:szCs w:val="18"/>
                <w:vertAlign w:val="subscript"/>
              </w:rPr>
              <w:t>DRX</w:t>
            </w:r>
            <w:r>
              <w:rPr>
                <w:sz w:val="16"/>
                <w:szCs w:val="18"/>
              </w:rPr>
              <w:t xml:space="preserve"> is the DRX cycle length.</w:t>
            </w:r>
          </w:p>
        </w:tc>
      </w:tr>
    </w:tbl>
    <w:p>
      <w:pPr>
        <w:rPr>
          <w:rFonts w:eastAsia="?? ??"/>
          <w:sz w:val="21"/>
          <w:szCs w:val="21"/>
        </w:rPr>
      </w:pPr>
    </w:p>
    <w:p>
      <w:pPr>
        <w:rPr>
          <w:sz w:val="21"/>
          <w:szCs w:val="21"/>
        </w:rPr>
      </w:pPr>
      <w:r>
        <w:rPr>
          <w:sz w:val="21"/>
          <w:szCs w:val="21"/>
        </w:rPr>
        <w:t>More specifically, for UE DRX cycles smaller than 320ms, the measurement is relaxed (</w:t>
      </w:r>
      <w:r>
        <w:rPr>
          <w:rFonts w:cs="v4.2.0"/>
          <w:sz w:val="21"/>
          <w:szCs w:val="22"/>
          <w:lang w:val="fr-FR"/>
        </w:rPr>
        <w:t>1.5</w:t>
      </w:r>
      <w:r>
        <w:rPr>
          <w:rFonts w:cs="Arial"/>
          <w:sz w:val="21"/>
          <w:szCs w:val="22"/>
          <w:lang w:val="fr-FR"/>
        </w:rPr>
        <w:t>×</w:t>
      </w:r>
      <w:r>
        <w:rPr>
          <w:rFonts w:cs="v4.2.0"/>
          <w:sz w:val="21"/>
          <w:szCs w:val="22"/>
          <w:lang w:val="fr-FR"/>
        </w:rPr>
        <w:t>M</w:t>
      </w:r>
      <w:r>
        <w:rPr>
          <w:rFonts w:cs="v4.2.0"/>
          <w:sz w:val="21"/>
          <w:szCs w:val="22"/>
          <w:vertAlign w:val="subscript"/>
          <w:lang w:val="fr-FR"/>
        </w:rPr>
        <w:t>out</w:t>
      </w:r>
      <w:r>
        <w:rPr>
          <w:rFonts w:cs="Arial"/>
          <w:sz w:val="21"/>
          <w:szCs w:val="22"/>
          <w:lang w:val="fr-FR"/>
        </w:rPr>
        <w:t>×P</w:t>
      </w:r>
      <w:r>
        <w:rPr>
          <w:sz w:val="21"/>
          <w:szCs w:val="21"/>
        </w:rPr>
        <w:t xml:space="preserve">) due to reason that the CSI-RS transmission periodicity and the DRX cycle are not well aligned (as shown in the left figure of Fig.1). Ideally, the measurement interval would be a lowest common multiple (LCM) of </w:t>
      </w:r>
      <w:r>
        <w:rPr>
          <w:rFonts w:cs="v4.2.0"/>
          <w:sz w:val="21"/>
          <w:szCs w:val="22"/>
          <w:lang w:val="fr-FR"/>
        </w:rPr>
        <w:t>T</w:t>
      </w:r>
      <w:r>
        <w:rPr>
          <w:rFonts w:cs="v4.2.0"/>
          <w:sz w:val="21"/>
          <w:szCs w:val="22"/>
          <w:vertAlign w:val="subscript"/>
          <w:lang w:val="fr-FR"/>
        </w:rPr>
        <w:t>CSI-RS</w:t>
      </w:r>
      <w:r>
        <w:rPr>
          <w:rFonts w:cs="v4.2.0"/>
          <w:sz w:val="21"/>
          <w:szCs w:val="22"/>
          <w:lang w:val="fr-FR"/>
        </w:rPr>
        <w:t xml:space="preserve"> and T</w:t>
      </w:r>
      <w:r>
        <w:rPr>
          <w:rFonts w:cs="v4.2.0"/>
          <w:sz w:val="21"/>
          <w:szCs w:val="22"/>
          <w:vertAlign w:val="subscript"/>
          <w:lang w:val="fr-FR"/>
        </w:rPr>
        <w:t>DRX</w:t>
      </w:r>
      <w:r>
        <w:rPr>
          <w:rFonts w:cs="v4.2.0"/>
          <w:sz w:val="21"/>
          <w:szCs w:val="22"/>
          <w:lang w:val="fr-FR"/>
        </w:rPr>
        <w:t xml:space="preserve">, </w:t>
      </w:r>
      <w:r>
        <w:rPr>
          <w:sz w:val="21"/>
          <w:szCs w:val="21"/>
        </w:rPr>
        <w:t>however, since the delay may be too large if LCM is used, a compromise of 1.5 times of the original defined value was determined. This compromise was made under the assumption that CSI-RS is always there even when UE DRX is configured. However, if it is agreed that CSI-RS during cell DTX non-active duration is not transmitted (as shown in the right figure of Fig.1), there is no way for UE to measure during the non-active duration to meet the requirement. This will lead to additional discussions in RAN4 and will increase UE measurement latency. This cannot be easily compromised to a larger number as in UE DRX case since UE cannot find a proper CSI-RS to measure in any non-active duration.</w:t>
      </w:r>
    </w:p>
    <w:p>
      <w:pPr>
        <w:rPr>
          <w:sz w:val="21"/>
          <w:szCs w:val="21"/>
        </w:rPr>
      </w:pPr>
    </w:p>
    <w:p>
      <w:pPr>
        <w:rPr>
          <w:sz w:val="21"/>
          <w:szCs w:val="21"/>
        </w:rPr>
      </w:pPr>
      <w:r>
        <w:rPr>
          <w:sz w:val="21"/>
          <w:szCs w:val="21"/>
        </w:rPr>
        <w:drawing>
          <wp:inline distT="0" distB="0" distL="0" distR="0">
            <wp:extent cx="2663825" cy="779145"/>
            <wp:effectExtent l="12700" t="12700" r="15875"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2724861" cy="797219"/>
                    </a:xfrm>
                    <a:prstGeom prst="rect">
                      <a:avLst/>
                    </a:prstGeom>
                    <a:ln>
                      <a:solidFill>
                        <a:schemeClr val="accent3"/>
                      </a:solidFill>
                    </a:ln>
                  </pic:spPr>
                </pic:pic>
              </a:graphicData>
            </a:graphic>
          </wp:inline>
        </w:drawing>
      </w:r>
      <w:r>
        <w:rPr>
          <w:rFonts w:hint="eastAsia"/>
          <w:sz w:val="21"/>
          <w:szCs w:val="21"/>
        </w:rPr>
        <w:t xml:space="preserve"> </w:t>
      </w:r>
      <w:r>
        <w:rPr>
          <w:sz w:val="21"/>
          <w:szCs w:val="21"/>
        </w:rPr>
        <w:t xml:space="preserve">       </w:t>
      </w:r>
      <w:r>
        <w:rPr>
          <w:sz w:val="21"/>
          <w:szCs w:val="21"/>
        </w:rPr>
        <w:drawing>
          <wp:inline distT="0" distB="0" distL="0" distR="0">
            <wp:extent cx="2668905" cy="779145"/>
            <wp:effectExtent l="12700" t="12700" r="1079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2729279" cy="796998"/>
                    </a:xfrm>
                    <a:prstGeom prst="rect">
                      <a:avLst/>
                    </a:prstGeom>
                    <a:ln>
                      <a:solidFill>
                        <a:schemeClr val="accent3"/>
                      </a:solidFill>
                    </a:ln>
                  </pic:spPr>
                </pic:pic>
              </a:graphicData>
            </a:graphic>
          </wp:inline>
        </w:drawing>
      </w:r>
    </w:p>
    <w:p>
      <w:pPr>
        <w:jc w:val="center"/>
        <w:rPr>
          <w:rFonts w:eastAsia="?? ??"/>
          <w:sz w:val="21"/>
          <w:szCs w:val="21"/>
        </w:rPr>
      </w:pPr>
      <w:r>
        <w:rPr>
          <w:rFonts w:hint="eastAsia" w:eastAsia="?? ??"/>
          <w:sz w:val="21"/>
          <w:szCs w:val="21"/>
        </w:rPr>
        <w:t>F</w:t>
      </w:r>
      <w:r>
        <w:rPr>
          <w:rFonts w:eastAsia="?? ??"/>
          <w:sz w:val="21"/>
          <w:szCs w:val="21"/>
        </w:rPr>
        <w:t>ig. 1 UE DRX/Cell DTX not aligned with CSI-RS</w:t>
      </w:r>
    </w:p>
    <w:p>
      <w:pPr>
        <w:rPr>
          <w:rFonts w:eastAsia="?? ??"/>
          <w:sz w:val="21"/>
          <w:szCs w:val="21"/>
        </w:rPr>
      </w:pPr>
    </w:p>
    <w:p>
      <w:pPr>
        <w:rPr>
          <w:rFonts w:eastAsia="?? ??"/>
          <w:sz w:val="21"/>
          <w:szCs w:val="21"/>
        </w:rPr>
      </w:pPr>
      <w:r>
        <w:rPr>
          <w:rFonts w:eastAsia="?? ??"/>
          <w:sz w:val="21"/>
          <w:szCs w:val="21"/>
        </w:rPr>
        <w:t xml:space="preserve">Similar to all the other CSI-RS purposes than tracking, whether or not they can be stopped during the non-active duration would highly impact on the UE measurement latency requirement. </w:t>
      </w:r>
    </w:p>
    <w:p>
      <w:pPr>
        <w:rPr>
          <w:rFonts w:eastAsia="?? ??"/>
          <w:sz w:val="21"/>
          <w:szCs w:val="21"/>
        </w:rPr>
      </w:pPr>
      <w:r>
        <w:rPr>
          <w:rFonts w:eastAsia="?? ??"/>
          <w:sz w:val="21"/>
          <w:szCs w:val="21"/>
        </w:rPr>
        <w:t xml:space="preserve">Considering that legacy UEs are still allowed to access NES cell, to ensure their performance, it is possible that CSI-RS resources are still configured for them. Network could indicate those CSI-RS resources as available resource during the non-active period, and stop transmitting those resources configured for NES UEs only. Thus it is preferred that NW support the configuration of CSI-RS resources for UE to monitor during the non-active period and whether UE supports complete shut-down of all CSI-RS resources can be a UE capability. </w:t>
      </w:r>
    </w:p>
    <w:p>
      <w:pPr>
        <w:overflowPunct w:val="0"/>
        <w:autoSpaceDE w:val="0"/>
        <w:autoSpaceDN w:val="0"/>
        <w:adjustRightInd w:val="0"/>
        <w:spacing w:after="180"/>
        <w:textAlignment w:val="baseline"/>
        <w:rPr>
          <w:b/>
          <w:bCs/>
          <w:sz w:val="21"/>
          <w:szCs w:val="28"/>
          <w:lang w:val="en-GB"/>
        </w:rPr>
      </w:pPr>
      <w:r>
        <w:rPr>
          <w:b/>
          <w:bCs/>
          <w:sz w:val="21"/>
          <w:szCs w:val="28"/>
        </w:rPr>
        <w:t xml:space="preserve">Observation 1: Allowing P/SP CSI-RS to be stopped </w:t>
      </w:r>
      <w:r>
        <w:rPr>
          <w:b/>
          <w:bCs/>
          <w:sz w:val="21"/>
          <w:szCs w:val="28"/>
          <w:lang w:val="en-GB"/>
        </w:rPr>
        <w:t>during cell DTX/DRX non-active duration may significantly increase UE measurement latency.</w:t>
      </w:r>
    </w:p>
    <w:p>
      <w:pPr>
        <w:overflowPunct w:val="0"/>
        <w:autoSpaceDE w:val="0"/>
        <w:autoSpaceDN w:val="0"/>
        <w:adjustRightInd w:val="0"/>
        <w:spacing w:after="180"/>
        <w:textAlignment w:val="baseline"/>
        <w:rPr>
          <w:b/>
          <w:bCs/>
          <w:sz w:val="21"/>
          <w:szCs w:val="28"/>
        </w:rPr>
      </w:pPr>
      <w:r>
        <w:rPr>
          <w:b/>
          <w:bCs/>
          <w:sz w:val="21"/>
          <w:szCs w:val="28"/>
          <w:lang w:val="en-GB"/>
        </w:rPr>
        <w:t xml:space="preserve">Proposal </w:t>
      </w:r>
      <w:r>
        <w:rPr>
          <w:b/>
          <w:bCs/>
          <w:sz w:val="21"/>
          <w:szCs w:val="28"/>
        </w:rPr>
        <w:t>4</w:t>
      </w:r>
      <w:r>
        <w:rPr>
          <w:b/>
          <w:bCs/>
          <w:sz w:val="21"/>
          <w:szCs w:val="28"/>
          <w:lang w:val="en-GB"/>
        </w:rPr>
        <w:t xml:space="preserve">: </w:t>
      </w:r>
      <w:r>
        <w:rPr>
          <w:b/>
          <w:bCs/>
          <w:sz w:val="21"/>
          <w:szCs w:val="28"/>
        </w:rPr>
        <w:t xml:space="preserve"> Support network configuration of a list of P/SP CSI-RS for L1-RSRP/SINR measurement, RRM, RLM, for UE to not expect to receive and/or process during non-active period of cell DTX. </w:t>
      </w:r>
    </w:p>
    <w:p>
      <w:pPr>
        <w:overflowPunct w:val="0"/>
        <w:autoSpaceDE w:val="0"/>
        <w:autoSpaceDN w:val="0"/>
        <w:adjustRightInd w:val="0"/>
        <w:spacing w:after="180"/>
        <w:textAlignment w:val="baseline"/>
        <w:rPr>
          <w:rFonts w:hint="eastAsia" w:ascii="Times New Roman Bold" w:hAnsi="Times New Roman Bold" w:eastAsia="?? ??" w:cs="Times New Roman Bold"/>
          <w:b/>
          <w:bCs/>
          <w:sz w:val="21"/>
          <w:szCs w:val="21"/>
          <w:lang w:val="en-GB"/>
        </w:rPr>
      </w:pPr>
      <w:r>
        <w:rPr>
          <w:rFonts w:ascii="Times New Roman Bold" w:hAnsi="Times New Roman Bold" w:cs="Times New Roman Bold"/>
          <w:b/>
          <w:bCs/>
          <w:sz w:val="21"/>
          <w:szCs w:val="28"/>
        </w:rPr>
        <w:t xml:space="preserve">Proposal 5: </w:t>
      </w:r>
      <w:r>
        <w:rPr>
          <w:rFonts w:ascii="Times New Roman Bold" w:hAnsi="Times New Roman Bold" w:eastAsia="?? ??" w:cs="Times New Roman Bold"/>
          <w:b/>
          <w:bCs/>
          <w:sz w:val="21"/>
          <w:szCs w:val="21"/>
        </w:rPr>
        <w:t xml:space="preserve">Whether UE supports not receiving and/or processing P/SP CSI-RS </w:t>
      </w:r>
      <w:r>
        <w:rPr>
          <w:b/>
          <w:bCs/>
          <w:sz w:val="21"/>
          <w:szCs w:val="28"/>
        </w:rPr>
        <w:t>during non-active period of cell DTX</w:t>
      </w:r>
      <w:r>
        <w:rPr>
          <w:rFonts w:ascii="Times New Roman Bold" w:hAnsi="Times New Roman Bold" w:eastAsia="?? ??" w:cs="Times New Roman Bold"/>
          <w:b/>
          <w:bCs/>
          <w:sz w:val="21"/>
          <w:szCs w:val="21"/>
        </w:rPr>
        <w:t xml:space="preserve"> is reported as UE capability.</w:t>
      </w:r>
    </w:p>
    <w:p>
      <w:pPr>
        <w:pStyle w:val="2"/>
        <w:jc w:val="both"/>
      </w:pPr>
      <w:r>
        <w:t xml:space="preserve"> Discussion on RRC parameters</w:t>
      </w:r>
    </w:p>
    <w:p>
      <w:pPr>
        <w:overflowPunct w:val="0"/>
        <w:autoSpaceDE w:val="0"/>
        <w:autoSpaceDN w:val="0"/>
        <w:adjustRightInd w:val="0"/>
        <w:spacing w:after="180"/>
        <w:jc w:val="both"/>
        <w:textAlignment w:val="baseline"/>
        <w:rPr>
          <w:sz w:val="21"/>
          <w:szCs w:val="28"/>
        </w:rPr>
      </w:pPr>
      <w:r>
        <w:rPr>
          <w:sz w:val="21"/>
          <w:szCs w:val="28"/>
        </w:rPr>
        <w:t xml:space="preserve">In last meeting, the RRC parameters were discussed for the first time, and most of the rows for cell DTX/DRX are marked unstable. In the following, we provide our considerations. </w:t>
      </w:r>
    </w:p>
    <w:p>
      <w:pPr>
        <w:overflowPunct w:val="0"/>
        <w:autoSpaceDE w:val="0"/>
        <w:autoSpaceDN w:val="0"/>
        <w:adjustRightInd w:val="0"/>
        <w:spacing w:after="180"/>
        <w:jc w:val="both"/>
        <w:textAlignment w:val="baseline"/>
        <w:rPr>
          <w:sz w:val="21"/>
          <w:szCs w:val="28"/>
        </w:rPr>
      </w:pPr>
      <w:r>
        <w:rPr>
          <w:sz w:val="21"/>
          <w:szCs w:val="28"/>
        </w:rPr>
        <w:t xml:space="preserve">For Row 13 and 14, the exact configuration details should be pending on further RAN2 discussion. It is noted that although RAN2 has agreed that DTX and DRX configurations can be enabled separately, this is mainly focused on configuring cell DTX without cell DRX, whether cell DRX can be configured alone is still under discussion. Therefore, these two row can be left for RAN2 to decide. </w:t>
      </w:r>
    </w:p>
    <w:p>
      <w:pPr>
        <w:overflowPunct w:val="0"/>
        <w:autoSpaceDE w:val="0"/>
        <w:autoSpaceDN w:val="0"/>
        <w:adjustRightInd w:val="0"/>
        <w:spacing w:after="180"/>
        <w:jc w:val="both"/>
        <w:textAlignment w:val="baseline"/>
        <w:rPr>
          <w:rFonts w:ascii="Times New Roman Bold" w:hAnsi="Times New Roman Bold" w:cs="Times New Roman Bold"/>
          <w:b/>
          <w:bCs/>
          <w:sz w:val="21"/>
          <w:szCs w:val="28"/>
        </w:rPr>
      </w:pPr>
      <w:r>
        <w:rPr>
          <w:rFonts w:ascii="Times New Roman Bold" w:hAnsi="Times New Roman Bold" w:cs="Times New Roman Bold"/>
          <w:b/>
          <w:bCs/>
          <w:sz w:val="21"/>
          <w:szCs w:val="28"/>
        </w:rPr>
        <w:t xml:space="preserve">Proposal 6: Row 13 (cellDTXconfig) and 14 (cellDRXconfig)  should be pending on RAN2 agreement on whether cell DRX can be individually configured.  </w:t>
      </w:r>
    </w:p>
    <w:p>
      <w:pPr>
        <w:overflowPunct w:val="0"/>
        <w:autoSpaceDE w:val="0"/>
        <w:autoSpaceDN w:val="0"/>
        <w:adjustRightInd w:val="0"/>
        <w:spacing w:after="180"/>
        <w:jc w:val="both"/>
        <w:textAlignment w:val="baseline"/>
        <w:rPr>
          <w:sz w:val="21"/>
          <w:szCs w:val="28"/>
        </w:rPr>
      </w:pPr>
      <w:r>
        <w:rPr>
          <w:sz w:val="21"/>
          <w:szCs w:val="28"/>
        </w:rPr>
        <w:t xml:space="preserve">For Row 15 and Row 16, from our perspective, the functionality of Row 15 is similar to “DCP-Config-r16” and Row 16 is similar to “dci-Format2-6-r16” in the “SearchSpaceExt-r16”, where the former is used to contain the DCI format 2_9 configurations, including RNTI, starting position of each block and the DCI size, while the latter, is configured in the search space configuration to indicate monitoring of the corresponding DCI format in the search space. </w:t>
      </w:r>
    </w:p>
    <w:p>
      <w:pPr>
        <w:overflowPunct w:val="0"/>
        <w:autoSpaceDE w:val="0"/>
        <w:autoSpaceDN w:val="0"/>
        <w:adjustRightInd w:val="0"/>
        <w:spacing w:after="180"/>
        <w:jc w:val="both"/>
        <w:textAlignment w:val="baseline"/>
        <w:rPr>
          <w:sz w:val="21"/>
          <w:szCs w:val="28"/>
        </w:rPr>
      </w:pPr>
      <w:r>
        <w:rPr>
          <w:sz w:val="21"/>
          <w:szCs w:val="28"/>
        </w:rPr>
        <w:t>While we understand the motivation of these two rows, we would like to stick to the above mentioned functionalities, without introducing a second level configuration optimization to indicate whether the activation/deactivation is further indicated in the field, which also follows the following existing agreement.</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6"/>
      </w:tblGrid>
      <w:tr>
        <w:tc>
          <w:tcPr>
            <w:tcW w:w="9236" w:type="dxa"/>
          </w:tcPr>
          <w:p>
            <w:pPr>
              <w:tabs>
                <w:tab w:val="left" w:pos="1440"/>
              </w:tabs>
              <w:rPr>
                <w:b/>
                <w:bCs/>
                <w:highlight w:val="green"/>
              </w:rPr>
            </w:pPr>
            <w:r>
              <w:rPr>
                <w:b/>
                <w:bCs/>
                <w:highlight w:val="green"/>
              </w:rPr>
              <w:t>Agreement</w:t>
            </w:r>
          </w:p>
          <w:p>
            <w:pPr>
              <w:pStyle w:val="14"/>
              <w:numPr>
                <w:ilvl w:val="0"/>
                <w:numId w:val="5"/>
              </w:numPr>
              <w:tabs>
                <w:tab w:val="left" w:pos="800"/>
              </w:tabs>
              <w:suppressAutoHyphens/>
              <w:spacing w:after="0" w:line="254" w:lineRule="auto"/>
              <w:jc w:val="left"/>
              <w:rPr>
                <w:rFonts w:ascii="Times New Roman" w:hAnsi="Times New Roman" w:eastAsia="Malgun Gothic"/>
                <w:szCs w:val="20"/>
                <w:lang w:eastAsia="ko-KR"/>
              </w:rPr>
            </w:pPr>
            <w:r>
              <w:rPr>
                <w:rFonts w:ascii="Times New Roman" w:hAnsi="Times New Roman" w:eastAsia="Malgun Gothic"/>
                <w:szCs w:val="20"/>
                <w:lang w:eastAsia="ko-KR"/>
              </w:rPr>
              <w:t>An information block field of DCI format 2_X is variable size either 1 or 2 bits.</w:t>
            </w:r>
          </w:p>
          <w:p>
            <w:pPr>
              <w:pStyle w:val="14"/>
              <w:numPr>
                <w:ilvl w:val="1"/>
                <w:numId w:val="5"/>
              </w:numPr>
              <w:tabs>
                <w:tab w:val="left" w:pos="1440"/>
              </w:tabs>
              <w:suppressAutoHyphens/>
              <w:spacing w:after="0" w:line="254" w:lineRule="auto"/>
              <w:jc w:val="left"/>
              <w:rPr>
                <w:rFonts w:ascii="Times New Roman" w:hAnsi="Times New Roman" w:eastAsia="Malgun Gothic"/>
                <w:szCs w:val="20"/>
                <w:lang w:eastAsia="ko-KR"/>
              </w:rPr>
            </w:pPr>
            <w:r>
              <w:rPr>
                <w:rFonts w:ascii="Times New Roman" w:hAnsi="Times New Roman" w:eastAsia="Malgun Gothic"/>
                <w:szCs w:val="20"/>
                <w:lang w:eastAsia="ko-KR"/>
              </w:rPr>
              <w:t>Higher layer signaling configures whether the activation/deactivation of cell DTX and/or cell DRX is indicated in DCI format 2_X for a serving cell.</w:t>
            </w:r>
          </w:p>
          <w:p>
            <w:pPr>
              <w:pStyle w:val="14"/>
              <w:numPr>
                <w:ilvl w:val="2"/>
                <w:numId w:val="5"/>
              </w:numPr>
              <w:tabs>
                <w:tab w:val="left" w:pos="1440"/>
              </w:tabs>
              <w:suppressAutoHyphens/>
              <w:spacing w:after="0" w:line="254" w:lineRule="auto"/>
              <w:jc w:val="left"/>
              <w:rPr>
                <w:rFonts w:ascii="Times New Roman" w:hAnsi="Times New Roman" w:eastAsia="Malgun Gothic"/>
                <w:szCs w:val="20"/>
                <w:lang w:eastAsia="ko-KR"/>
              </w:rPr>
            </w:pPr>
            <w:r>
              <w:rPr>
                <w:rFonts w:ascii="Times New Roman" w:hAnsi="Times New Roman" w:eastAsia="Malgun Gothic"/>
                <w:szCs w:val="20"/>
                <w:lang w:eastAsia="ko-KR"/>
              </w:rPr>
              <w:t xml:space="preserve">If both cell DTX and cell DRX are configured for a serving cell, </w:t>
            </w:r>
          </w:p>
          <w:p>
            <w:pPr>
              <w:pStyle w:val="14"/>
              <w:numPr>
                <w:ilvl w:val="3"/>
                <w:numId w:val="5"/>
              </w:numPr>
              <w:tabs>
                <w:tab w:val="left" w:pos="1440"/>
              </w:tabs>
              <w:suppressAutoHyphens/>
              <w:spacing w:after="0" w:line="254" w:lineRule="auto"/>
              <w:jc w:val="left"/>
              <w:rPr>
                <w:rFonts w:ascii="Times New Roman" w:hAnsi="Times New Roman" w:eastAsia="Malgun Gothic"/>
                <w:szCs w:val="20"/>
                <w:lang w:eastAsia="ko-KR"/>
              </w:rPr>
            </w:pPr>
            <w:r>
              <w:rPr>
                <w:rFonts w:ascii="Times New Roman" w:hAnsi="Times New Roman" w:eastAsia="Malgun Gothic"/>
                <w:szCs w:val="20"/>
                <w:lang w:eastAsia="ko-KR"/>
              </w:rPr>
              <w:t>1</w:t>
            </w:r>
            <w:r>
              <w:rPr>
                <w:rFonts w:ascii="Times New Roman" w:hAnsi="Times New Roman" w:eastAsia="Malgun Gothic"/>
                <w:szCs w:val="20"/>
                <w:vertAlign w:val="superscript"/>
                <w:lang w:eastAsia="ko-KR"/>
              </w:rPr>
              <w:t>st</w:t>
            </w:r>
            <w:r>
              <w:rPr>
                <w:rFonts w:ascii="Times New Roman" w:hAnsi="Times New Roman" w:eastAsia="Malgun Gothic"/>
                <w:szCs w:val="20"/>
                <w:lang w:eastAsia="ko-KR"/>
              </w:rPr>
              <w:t xml:space="preserve"> bit corresponds to activation/deactivation of cell DTX configuration, and</w:t>
            </w:r>
          </w:p>
          <w:p>
            <w:pPr>
              <w:pStyle w:val="14"/>
              <w:numPr>
                <w:ilvl w:val="3"/>
                <w:numId w:val="5"/>
              </w:numPr>
              <w:tabs>
                <w:tab w:val="left" w:pos="1440"/>
              </w:tabs>
              <w:suppressAutoHyphens/>
              <w:spacing w:after="0" w:line="254" w:lineRule="auto"/>
              <w:jc w:val="left"/>
              <w:rPr>
                <w:rFonts w:ascii="Times New Roman" w:hAnsi="Times New Roman" w:eastAsia="Malgun Gothic"/>
                <w:szCs w:val="20"/>
                <w:lang w:eastAsia="ko-KR"/>
              </w:rPr>
            </w:pPr>
            <w:r>
              <w:rPr>
                <w:rFonts w:ascii="Times New Roman" w:hAnsi="Times New Roman" w:eastAsia="Malgun Gothic"/>
                <w:szCs w:val="20"/>
                <w:lang w:eastAsia="ko-KR"/>
              </w:rPr>
              <w:t>2</w:t>
            </w:r>
            <w:r>
              <w:rPr>
                <w:rFonts w:ascii="Times New Roman" w:hAnsi="Times New Roman" w:eastAsia="Malgun Gothic"/>
                <w:szCs w:val="20"/>
                <w:vertAlign w:val="superscript"/>
                <w:lang w:eastAsia="ko-KR"/>
              </w:rPr>
              <w:t>nd</w:t>
            </w:r>
            <w:r>
              <w:rPr>
                <w:rFonts w:ascii="Times New Roman" w:hAnsi="Times New Roman" w:eastAsia="Malgun Gothic"/>
                <w:szCs w:val="20"/>
                <w:lang w:eastAsia="ko-KR"/>
              </w:rPr>
              <w:t xml:space="preserve"> bit corresponds to activation/deactivation of cell DRX configuration, </w:t>
            </w:r>
          </w:p>
          <w:p>
            <w:pPr>
              <w:pStyle w:val="14"/>
              <w:numPr>
                <w:ilvl w:val="2"/>
                <w:numId w:val="5"/>
              </w:numPr>
              <w:tabs>
                <w:tab w:val="left" w:pos="1440"/>
              </w:tabs>
              <w:suppressAutoHyphens/>
              <w:spacing w:after="0" w:line="254" w:lineRule="auto"/>
              <w:jc w:val="left"/>
              <w:rPr>
                <w:rFonts w:ascii="Times New Roman" w:hAnsi="Times New Roman" w:eastAsia="Malgun Gothic"/>
                <w:szCs w:val="20"/>
                <w:lang w:eastAsia="ko-KR"/>
              </w:rPr>
            </w:pPr>
            <w:r>
              <w:rPr>
                <w:rFonts w:ascii="Times New Roman" w:hAnsi="Times New Roman" w:eastAsia="Malgun Gothic"/>
                <w:szCs w:val="20"/>
                <w:lang w:eastAsia="ko-KR"/>
              </w:rPr>
              <w:t>otherwise, the 1 bit corresponds to the configured cell DTX or cell DRX configuration.</w:t>
            </w:r>
          </w:p>
          <w:p>
            <w:pPr>
              <w:pStyle w:val="14"/>
              <w:numPr>
                <w:ilvl w:val="1"/>
                <w:numId w:val="5"/>
              </w:numPr>
              <w:tabs>
                <w:tab w:val="left" w:pos="1440"/>
              </w:tabs>
              <w:suppressAutoHyphens/>
              <w:spacing w:after="0" w:line="254" w:lineRule="auto"/>
              <w:jc w:val="left"/>
              <w:rPr>
                <w:rFonts w:ascii="Times New Roman" w:hAnsi="Times New Roman" w:eastAsia="Malgun Gothic"/>
                <w:color w:val="C00000"/>
                <w:szCs w:val="20"/>
                <w:u w:val="single"/>
                <w:lang w:eastAsia="ko-KR"/>
              </w:rPr>
            </w:pPr>
            <w:r>
              <w:rPr>
                <w:rFonts w:ascii="Times New Roman" w:hAnsi="Times New Roman" w:eastAsia="Malgun Gothic"/>
                <w:color w:val="C00000"/>
                <w:szCs w:val="20"/>
                <w:u w:val="single"/>
                <w:lang w:eastAsia="ko-KR"/>
              </w:rPr>
              <w:t>Note: this does not imply there may be separate higher layer signaling to enable L1 signaling based activation/deactivation for a cell DTX and/or cell DRX configuration. Signaling design is up to RAN2.</w:t>
            </w:r>
          </w:p>
          <w:p>
            <w:pPr>
              <w:overflowPunct w:val="0"/>
              <w:autoSpaceDE w:val="0"/>
              <w:autoSpaceDN w:val="0"/>
              <w:adjustRightInd w:val="0"/>
              <w:spacing w:after="180"/>
              <w:textAlignment w:val="baseline"/>
              <w:rPr>
                <w:sz w:val="21"/>
                <w:szCs w:val="28"/>
              </w:rPr>
            </w:pPr>
          </w:p>
        </w:tc>
      </w:tr>
    </w:tbl>
    <w:p>
      <w:pPr>
        <w:overflowPunct w:val="0"/>
        <w:autoSpaceDE w:val="0"/>
        <w:autoSpaceDN w:val="0"/>
        <w:adjustRightInd w:val="0"/>
        <w:spacing w:after="180"/>
        <w:textAlignment w:val="baseline"/>
        <w:rPr>
          <w:sz w:val="21"/>
          <w:szCs w:val="28"/>
        </w:rPr>
      </w:pPr>
    </w:p>
    <w:p>
      <w:pPr>
        <w:overflowPunct w:val="0"/>
        <w:autoSpaceDE w:val="0"/>
        <w:autoSpaceDN w:val="0"/>
        <w:adjustRightInd w:val="0"/>
        <w:spacing w:after="180"/>
        <w:jc w:val="both"/>
        <w:textAlignment w:val="baseline"/>
        <w:rPr>
          <w:sz w:val="21"/>
          <w:szCs w:val="28"/>
        </w:rPr>
      </w:pPr>
      <w:r>
        <w:rPr>
          <w:sz w:val="21"/>
          <w:szCs w:val="28"/>
        </w:rPr>
        <w:t xml:space="preserve">To be more specific, Row 15 should be the Parent ID for Row 17, 18 and 20, the RAN2 Parent IE should be row 15. Parent IE for Row 16 should be SearchSpace. However, we also believe that these are more RAN2 configuration details which can be left for RAN2 to determine, only Row 17, 18 and 20 are needed to send in the parameter list. </w:t>
      </w:r>
    </w:p>
    <w:p>
      <w:pPr>
        <w:overflowPunct w:val="0"/>
        <w:autoSpaceDE w:val="0"/>
        <w:autoSpaceDN w:val="0"/>
        <w:adjustRightInd w:val="0"/>
        <w:spacing w:after="180"/>
        <w:jc w:val="both"/>
        <w:textAlignment w:val="baseline"/>
        <w:rPr>
          <w:rFonts w:ascii="Times New Roman Bold" w:hAnsi="Times New Roman Bold" w:cs="Times New Roman Bold"/>
          <w:b/>
          <w:bCs/>
          <w:sz w:val="21"/>
          <w:szCs w:val="28"/>
        </w:rPr>
      </w:pPr>
      <w:r>
        <w:rPr>
          <w:rFonts w:ascii="Times New Roman Bold" w:hAnsi="Times New Roman Bold" w:cs="Times New Roman Bold"/>
          <w:b/>
          <w:bCs/>
          <w:sz w:val="21"/>
          <w:szCs w:val="28"/>
        </w:rPr>
        <w:t>Proposal 7: Row 15 (cellDTRX-DCI-config) should be the Parent IE for Row 17(cellDTRX-RNTI), 18(sizeDCI-2-x), and 20(positionInDCI-cellDTRX), and no need to explicitly configure whether the activation is for cell DTX and/or cell DRX. Otherwise Row 15 could be deleted and leave RAN2 to determine the structure.</w:t>
      </w:r>
    </w:p>
    <w:p>
      <w:pPr>
        <w:overflowPunct w:val="0"/>
        <w:autoSpaceDE w:val="0"/>
        <w:autoSpaceDN w:val="0"/>
        <w:adjustRightInd w:val="0"/>
        <w:spacing w:after="180"/>
        <w:jc w:val="both"/>
        <w:textAlignment w:val="baseline"/>
        <w:rPr>
          <w:sz w:val="21"/>
          <w:szCs w:val="28"/>
        </w:rPr>
      </w:pPr>
      <w:r>
        <w:rPr>
          <w:sz w:val="21"/>
          <w:szCs w:val="28"/>
        </w:rPr>
        <w:t xml:space="preserve">For Row 16 and 19, as legacy, configuring dci-Format2-X in the searchSpace indicates that UE monitors the DCI format 2_X. According to the following agreement, although the activation/deactivation is per cell, UE actually monitors the DCI in one serving cell.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6"/>
      </w:tblGrid>
      <w:tr>
        <w:tc>
          <w:tcPr>
            <w:tcW w:w="9236" w:type="dxa"/>
          </w:tcPr>
          <w:p>
            <w:pPr>
              <w:tabs>
                <w:tab w:val="left" w:pos="1440"/>
              </w:tabs>
              <w:rPr>
                <w:b/>
                <w:bCs/>
                <w:highlight w:val="green"/>
              </w:rPr>
            </w:pPr>
            <w:r>
              <w:rPr>
                <w:b/>
                <w:bCs/>
                <w:highlight w:val="green"/>
              </w:rPr>
              <w:t>Agreement</w:t>
            </w:r>
          </w:p>
          <w:p>
            <w:pPr>
              <w:pStyle w:val="14"/>
              <w:tabs>
                <w:tab w:val="left" w:pos="1480"/>
              </w:tabs>
              <w:suppressAutoHyphens/>
              <w:spacing w:after="0"/>
              <w:rPr>
                <w:rFonts w:ascii="Times New Roman" w:hAnsi="Times New Roman"/>
                <w:szCs w:val="20"/>
                <w:lang w:eastAsia="zh-CN"/>
              </w:rPr>
            </w:pPr>
            <w:r>
              <w:rPr>
                <w:rFonts w:ascii="Times New Roman" w:hAnsi="Times New Roman"/>
                <w:szCs w:val="20"/>
                <w:lang w:eastAsia="zh-CN"/>
              </w:rPr>
              <w:t>From RAN1 point of view, DCI format 2_X supports activation/deactivation of cell DTX/DRX configuration of multiple serving cells and support activation/deactivation per cell</w:t>
            </w:r>
          </w:p>
          <w:p>
            <w:pPr>
              <w:pStyle w:val="14"/>
              <w:numPr>
                <w:ilvl w:val="0"/>
                <w:numId w:val="5"/>
              </w:numPr>
              <w:tabs>
                <w:tab w:val="left" w:pos="800"/>
              </w:tabs>
              <w:suppressAutoHyphens/>
              <w:spacing w:after="0" w:line="254" w:lineRule="auto"/>
              <w:rPr>
                <w:sz w:val="21"/>
                <w:szCs w:val="28"/>
                <w:lang w:val="en-US"/>
              </w:rPr>
            </w:pPr>
            <w:r>
              <w:rPr>
                <w:rFonts w:ascii="Times New Roman" w:hAnsi="Times New Roman"/>
                <w:szCs w:val="20"/>
                <w:lang w:eastAsia="zh-CN"/>
              </w:rPr>
              <w:t>UE monitor DCI format 2_X in one serving cell</w:t>
            </w:r>
          </w:p>
        </w:tc>
      </w:tr>
    </w:tbl>
    <w:p>
      <w:pPr>
        <w:overflowPunct w:val="0"/>
        <w:autoSpaceDE w:val="0"/>
        <w:autoSpaceDN w:val="0"/>
        <w:adjustRightInd w:val="0"/>
        <w:spacing w:after="180"/>
        <w:jc w:val="both"/>
        <w:textAlignment w:val="baseline"/>
        <w:rPr>
          <w:sz w:val="21"/>
          <w:szCs w:val="28"/>
        </w:rPr>
      </w:pPr>
      <w:r>
        <w:rPr>
          <w:sz w:val="21"/>
          <w:szCs w:val="28"/>
        </w:rPr>
        <w:t xml:space="preserve">Therefore, we have the following proposal:  </w:t>
      </w:r>
    </w:p>
    <w:p>
      <w:pPr>
        <w:overflowPunct w:val="0"/>
        <w:autoSpaceDE w:val="0"/>
        <w:autoSpaceDN w:val="0"/>
        <w:adjustRightInd w:val="0"/>
        <w:spacing w:after="180"/>
        <w:jc w:val="both"/>
        <w:textAlignment w:val="baseline"/>
        <w:rPr>
          <w:sz w:val="21"/>
          <w:szCs w:val="28"/>
        </w:rPr>
      </w:pPr>
      <w:r>
        <w:rPr>
          <w:rFonts w:ascii="Times New Roman Bold" w:hAnsi="Times New Roman Bold" w:cs="Times New Roman Bold"/>
          <w:b/>
          <w:bCs/>
          <w:sz w:val="21"/>
          <w:szCs w:val="28"/>
        </w:rPr>
        <w:t xml:space="preserve">Proposal 8: Row 19 (searchSpace) should be the Parent IE of Row 16 (dci-Format2-X). Row 16 should be per search space configured and add in the parameter description that it can be configured in only one serving cell. </w:t>
      </w:r>
    </w:p>
    <w:p>
      <w:pPr>
        <w:overflowPunct w:val="0"/>
        <w:autoSpaceDE w:val="0"/>
        <w:autoSpaceDN w:val="0"/>
        <w:adjustRightInd w:val="0"/>
        <w:spacing w:after="180"/>
        <w:jc w:val="both"/>
        <w:textAlignment w:val="baseline"/>
        <w:rPr>
          <w:sz w:val="21"/>
          <w:szCs w:val="28"/>
        </w:rPr>
      </w:pPr>
      <w:r>
        <w:rPr>
          <w:sz w:val="21"/>
          <w:szCs w:val="28"/>
        </w:rPr>
        <w:t xml:space="preserve">For Row 17 (cellDTRX-RNTI) and 18 (sizeDCI-2-x), following the above agreement, they can be configured per UE since only one RNTI and one size is needed if UE only monitors on one serving cell. Different from row 16 where it is related to the search space configuration, these two parameters can be per UE provided which can be applied on any serving cell that is indicated for UE monitoring. </w:t>
      </w:r>
    </w:p>
    <w:p>
      <w:pPr>
        <w:overflowPunct w:val="0"/>
        <w:autoSpaceDE w:val="0"/>
        <w:autoSpaceDN w:val="0"/>
        <w:adjustRightInd w:val="0"/>
        <w:spacing w:after="180"/>
        <w:jc w:val="both"/>
        <w:textAlignment w:val="baseline"/>
        <w:rPr>
          <w:sz w:val="21"/>
          <w:szCs w:val="28"/>
        </w:rPr>
      </w:pPr>
      <w:r>
        <w:rPr>
          <w:rFonts w:ascii="Times New Roman Bold" w:hAnsi="Times New Roman Bold" w:cs="Times New Roman Bold"/>
          <w:b/>
          <w:bCs/>
          <w:sz w:val="21"/>
          <w:szCs w:val="28"/>
        </w:rPr>
        <w:t xml:space="preserve">Proposal 9: Row 17 (cellDTRX-RNTI) and 18 (sizeDCI-2-x) are per UE configured. </w:t>
      </w:r>
    </w:p>
    <w:p>
      <w:pPr>
        <w:pStyle w:val="2"/>
        <w:rPr>
          <w:sz w:val="32"/>
          <w:szCs w:val="32"/>
        </w:rPr>
      </w:pPr>
      <w:r>
        <w:rPr>
          <w:sz w:val="32"/>
          <w:szCs w:val="32"/>
        </w:rPr>
        <w:t xml:space="preserve"> Conclusion</w:t>
      </w:r>
    </w:p>
    <w:p>
      <w:pPr>
        <w:pStyle w:val="45"/>
        <w:spacing w:after="120" w:afterAutospacing="0" w:line="240" w:lineRule="auto"/>
        <w:ind w:firstLine="0"/>
        <w:rPr>
          <w:sz w:val="21"/>
          <w:szCs w:val="21"/>
          <w:lang w:val="en-US"/>
        </w:rPr>
      </w:pPr>
      <w:r>
        <w:rPr>
          <w:sz w:val="21"/>
          <w:szCs w:val="21"/>
          <w:lang w:val="en-US"/>
        </w:rPr>
        <w:t>In this contribution, we have the following observations and proposals:</w:t>
      </w:r>
    </w:p>
    <w:p>
      <w:pPr>
        <w:numPr>
          <w:ilvl w:val="0"/>
          <w:numId w:val="6"/>
        </w:numPr>
        <w:overflowPunct w:val="0"/>
        <w:autoSpaceDE w:val="0"/>
        <w:autoSpaceDN w:val="0"/>
        <w:adjustRightInd w:val="0"/>
        <w:spacing w:after="180"/>
        <w:textAlignment w:val="baseline"/>
        <w:rPr>
          <w:rFonts w:ascii="Times New Roman Bold" w:hAnsi="Times New Roman Bold" w:cs="Times New Roman Bold"/>
          <w:b/>
          <w:bCs/>
          <w:sz w:val="21"/>
          <w:szCs w:val="28"/>
        </w:rPr>
      </w:pPr>
      <w:r>
        <w:rPr>
          <w:rFonts w:ascii="Times New Roman Bold" w:hAnsi="Times New Roman Bold" w:cs="Times New Roman Bold"/>
          <w:b/>
          <w:bCs/>
          <w:sz w:val="21"/>
          <w:szCs w:val="28"/>
        </w:rPr>
        <w:t>On HARQ-ACK of SPS overlapping with non-active period of cell DTX</w:t>
      </w:r>
    </w:p>
    <w:p>
      <w:pPr>
        <w:overflowPunct w:val="0"/>
        <w:autoSpaceDE w:val="0"/>
        <w:autoSpaceDN w:val="0"/>
        <w:adjustRightInd w:val="0"/>
        <w:spacing w:after="180"/>
        <w:textAlignment w:val="baseline"/>
        <w:rPr>
          <w:rFonts w:ascii="Times New Roman Bold" w:hAnsi="Times New Roman Bold" w:cs="Times New Roman Bold"/>
          <w:b/>
          <w:bCs/>
          <w:sz w:val="21"/>
          <w:szCs w:val="28"/>
        </w:rPr>
      </w:pPr>
      <w:r>
        <w:rPr>
          <w:rFonts w:ascii="Times New Roman Bold" w:hAnsi="Times New Roman Bold" w:cs="Times New Roman Bold"/>
          <w:b/>
          <w:bCs/>
          <w:sz w:val="21"/>
          <w:szCs w:val="28"/>
        </w:rPr>
        <w:t xml:space="preserve">Proposal 1: HARQ-ACK generation for SPS occasions overlapping with cell DTX non-active period follows legacy behavior as for SPS occasions overlapping with symbols indicated as UL by </w:t>
      </w:r>
      <w:r>
        <w:rPr>
          <w:rFonts w:ascii="Times New Roman Bold Italic" w:hAnsi="Times New Roman Bold Italic" w:cs="Times New Roman Bold Italic"/>
          <w:b/>
          <w:bCs/>
          <w:i/>
          <w:iCs/>
          <w:sz w:val="21"/>
          <w:szCs w:val="28"/>
        </w:rPr>
        <w:t>tdd-UL-DL-ConfigurationCommon</w:t>
      </w:r>
      <w:r>
        <w:rPr>
          <w:rFonts w:ascii="Times New Roman Bold" w:hAnsi="Times New Roman Bold" w:cs="Times New Roman Bold"/>
          <w:b/>
          <w:bCs/>
          <w:sz w:val="21"/>
          <w:szCs w:val="28"/>
        </w:rPr>
        <w:t xml:space="preserve"> or by </w:t>
      </w:r>
      <w:r>
        <w:rPr>
          <w:rFonts w:ascii="Times New Roman Bold Italic" w:hAnsi="Times New Roman Bold Italic" w:cs="Times New Roman Bold Italic"/>
          <w:b/>
          <w:bCs/>
          <w:i/>
          <w:iCs/>
          <w:sz w:val="21"/>
          <w:szCs w:val="28"/>
        </w:rPr>
        <w:t>tdd-UL-DL-ConfigurationDedicated</w:t>
      </w:r>
      <w:r>
        <w:rPr>
          <w:rFonts w:ascii="Times New Roman Bold" w:hAnsi="Times New Roman Bold" w:cs="Times New Roman Bold"/>
          <w:b/>
          <w:bCs/>
          <w:sz w:val="21"/>
          <w:szCs w:val="28"/>
        </w:rPr>
        <w:t>.</w:t>
      </w:r>
    </w:p>
    <w:p>
      <w:pPr>
        <w:overflowPunct w:val="0"/>
        <w:autoSpaceDE w:val="0"/>
        <w:autoSpaceDN w:val="0"/>
        <w:adjustRightInd w:val="0"/>
        <w:spacing w:after="180"/>
        <w:textAlignment w:val="baseline"/>
        <w:rPr>
          <w:rFonts w:ascii="Times New Roman Bold" w:hAnsi="Times New Roman Bold" w:cs="Times New Roman Bold"/>
          <w:b/>
          <w:bCs/>
          <w:sz w:val="21"/>
          <w:szCs w:val="28"/>
        </w:rPr>
      </w:pPr>
      <w:r>
        <w:rPr>
          <w:rFonts w:ascii="Times New Roman Bold" w:hAnsi="Times New Roman Bold" w:cs="Times New Roman Bold"/>
          <w:b/>
          <w:bCs/>
          <w:sz w:val="21"/>
          <w:szCs w:val="28"/>
        </w:rPr>
        <w:t xml:space="preserve">Proposal 2: HARQ-ACK transmission will not impacted by cell DRX non-active period. </w:t>
      </w:r>
    </w:p>
    <w:p>
      <w:pPr>
        <w:overflowPunct w:val="0"/>
        <w:autoSpaceDE w:val="0"/>
        <w:autoSpaceDN w:val="0"/>
        <w:adjustRightInd w:val="0"/>
        <w:spacing w:after="180"/>
        <w:textAlignment w:val="baseline"/>
        <w:rPr>
          <w:rFonts w:ascii="Times New Roman Bold" w:hAnsi="Times New Roman Bold" w:cs="Times New Roman Bold"/>
          <w:b/>
          <w:bCs/>
          <w:sz w:val="21"/>
          <w:szCs w:val="28"/>
        </w:rPr>
      </w:pPr>
    </w:p>
    <w:p>
      <w:pPr>
        <w:numPr>
          <w:ilvl w:val="0"/>
          <w:numId w:val="6"/>
        </w:numPr>
        <w:overflowPunct w:val="0"/>
        <w:autoSpaceDE w:val="0"/>
        <w:autoSpaceDN w:val="0"/>
        <w:adjustRightInd w:val="0"/>
        <w:spacing w:after="180"/>
        <w:textAlignment w:val="baseline"/>
        <w:rPr>
          <w:rFonts w:ascii="Times New Roman Bold" w:hAnsi="Times New Roman Bold" w:cs="Times New Roman Bold"/>
          <w:b/>
          <w:bCs/>
          <w:sz w:val="21"/>
          <w:szCs w:val="28"/>
        </w:rPr>
      </w:pPr>
      <w:r>
        <w:rPr>
          <w:rFonts w:ascii="Times New Roman Bold" w:hAnsi="Times New Roman Bold" w:cs="Times New Roman Bold"/>
          <w:b/>
          <w:bCs/>
          <w:sz w:val="21"/>
          <w:szCs w:val="28"/>
        </w:rPr>
        <w:t>On CSI-RS for purposes other than CSI reporting</w:t>
      </w:r>
    </w:p>
    <w:p>
      <w:pPr>
        <w:overflowPunct w:val="0"/>
        <w:autoSpaceDE w:val="0"/>
        <w:autoSpaceDN w:val="0"/>
        <w:adjustRightInd w:val="0"/>
        <w:spacing w:after="180"/>
        <w:textAlignment w:val="baseline"/>
        <w:rPr>
          <w:sz w:val="21"/>
          <w:szCs w:val="28"/>
        </w:rPr>
      </w:pPr>
      <w:r>
        <w:rPr>
          <w:b/>
          <w:bCs/>
          <w:sz w:val="21"/>
          <w:szCs w:val="28"/>
        </w:rPr>
        <w:t xml:space="preserve">Observation 1: Allowing P/SP CSI-RS to be stopped </w:t>
      </w:r>
      <w:r>
        <w:rPr>
          <w:b/>
          <w:bCs/>
          <w:sz w:val="21"/>
          <w:szCs w:val="28"/>
          <w:lang w:val="en-GB"/>
        </w:rPr>
        <w:t>during cell DTX/DRX non-active duration may significantly increase UE measurement latency.</w:t>
      </w:r>
    </w:p>
    <w:p>
      <w:pPr>
        <w:rPr>
          <w:b/>
          <w:bCs/>
          <w:sz w:val="21"/>
          <w:szCs w:val="21"/>
        </w:rPr>
      </w:pPr>
      <w:r>
        <w:rPr>
          <w:b/>
          <w:bCs/>
          <w:sz w:val="21"/>
          <w:szCs w:val="21"/>
        </w:rPr>
        <w:t>Proposal 3: To not impact legacy UEs that do not support NES feature, TRS is still maintained during non-active duration of cell DTX.</w:t>
      </w:r>
    </w:p>
    <w:p>
      <w:pPr>
        <w:overflowPunct w:val="0"/>
        <w:autoSpaceDE w:val="0"/>
        <w:autoSpaceDN w:val="0"/>
        <w:adjustRightInd w:val="0"/>
        <w:spacing w:after="180"/>
        <w:textAlignment w:val="baseline"/>
        <w:rPr>
          <w:b/>
          <w:bCs/>
          <w:sz w:val="21"/>
          <w:szCs w:val="28"/>
        </w:rPr>
      </w:pPr>
      <w:r>
        <w:rPr>
          <w:b/>
          <w:bCs/>
          <w:sz w:val="21"/>
          <w:szCs w:val="28"/>
          <w:lang w:val="en-GB"/>
        </w:rPr>
        <w:t xml:space="preserve">Proposal </w:t>
      </w:r>
      <w:r>
        <w:rPr>
          <w:b/>
          <w:bCs/>
          <w:sz w:val="21"/>
          <w:szCs w:val="28"/>
        </w:rPr>
        <w:t>4</w:t>
      </w:r>
      <w:r>
        <w:rPr>
          <w:b/>
          <w:bCs/>
          <w:sz w:val="21"/>
          <w:szCs w:val="28"/>
          <w:lang w:val="en-GB"/>
        </w:rPr>
        <w:t xml:space="preserve">: </w:t>
      </w:r>
      <w:r>
        <w:rPr>
          <w:b/>
          <w:bCs/>
          <w:sz w:val="21"/>
          <w:szCs w:val="28"/>
        </w:rPr>
        <w:t xml:space="preserve"> Support network configuration of a list of P/SP CSI-RS for L1-RSRP/SINR measurement, RRM, RLM, for UE to not expect to receive and/or process during non-active period of cell DTX. </w:t>
      </w:r>
    </w:p>
    <w:p>
      <w:pPr>
        <w:overflowPunct w:val="0"/>
        <w:autoSpaceDE w:val="0"/>
        <w:autoSpaceDN w:val="0"/>
        <w:adjustRightInd w:val="0"/>
        <w:spacing w:after="180"/>
        <w:textAlignment w:val="baseline"/>
        <w:rPr>
          <w:rFonts w:hint="eastAsia" w:ascii="Times New Roman Bold" w:hAnsi="Times New Roman Bold" w:eastAsia="?? ??" w:cs="Times New Roman Bold"/>
          <w:b/>
          <w:bCs/>
          <w:sz w:val="21"/>
          <w:szCs w:val="21"/>
        </w:rPr>
      </w:pPr>
      <w:r>
        <w:rPr>
          <w:rFonts w:ascii="Times New Roman Bold" w:hAnsi="Times New Roman Bold" w:cs="Times New Roman Bold"/>
          <w:b/>
          <w:bCs/>
          <w:sz w:val="21"/>
          <w:szCs w:val="28"/>
        </w:rPr>
        <w:t xml:space="preserve">Proposal 5: </w:t>
      </w:r>
      <w:r>
        <w:rPr>
          <w:rFonts w:ascii="Times New Roman Bold" w:hAnsi="Times New Roman Bold" w:eastAsia="?? ??" w:cs="Times New Roman Bold"/>
          <w:b/>
          <w:bCs/>
          <w:sz w:val="21"/>
          <w:szCs w:val="21"/>
        </w:rPr>
        <w:t xml:space="preserve">Whether UE supports not receiving and/or processing P/SP CSI-RS </w:t>
      </w:r>
      <w:r>
        <w:rPr>
          <w:b/>
          <w:bCs/>
          <w:sz w:val="21"/>
          <w:szCs w:val="28"/>
        </w:rPr>
        <w:t>during non-active period of cell DTX</w:t>
      </w:r>
      <w:r>
        <w:rPr>
          <w:rFonts w:ascii="Times New Roman Bold" w:hAnsi="Times New Roman Bold" w:eastAsia="?? ??" w:cs="Times New Roman Bold"/>
          <w:b/>
          <w:bCs/>
          <w:sz w:val="21"/>
          <w:szCs w:val="21"/>
        </w:rPr>
        <w:t xml:space="preserve"> is reported as UE capability.</w:t>
      </w:r>
    </w:p>
    <w:p>
      <w:pPr>
        <w:overflowPunct w:val="0"/>
        <w:autoSpaceDE w:val="0"/>
        <w:autoSpaceDN w:val="0"/>
        <w:adjustRightInd w:val="0"/>
        <w:spacing w:after="180"/>
        <w:textAlignment w:val="baseline"/>
        <w:rPr>
          <w:sz w:val="21"/>
          <w:szCs w:val="28"/>
        </w:rPr>
      </w:pPr>
    </w:p>
    <w:p>
      <w:pPr>
        <w:numPr>
          <w:ilvl w:val="0"/>
          <w:numId w:val="6"/>
        </w:numPr>
        <w:overflowPunct w:val="0"/>
        <w:autoSpaceDE w:val="0"/>
        <w:autoSpaceDN w:val="0"/>
        <w:adjustRightInd w:val="0"/>
        <w:spacing w:after="180"/>
        <w:textAlignment w:val="baseline"/>
        <w:rPr>
          <w:rFonts w:ascii="Times New Roman Bold" w:hAnsi="Times New Roman Bold" w:cs="Times New Roman Bold"/>
          <w:b/>
          <w:bCs/>
          <w:sz w:val="21"/>
          <w:szCs w:val="28"/>
        </w:rPr>
      </w:pPr>
      <w:r>
        <w:rPr>
          <w:rFonts w:ascii="Times New Roman Bold" w:hAnsi="Times New Roman Bold" w:cs="Times New Roman Bold"/>
          <w:b/>
          <w:bCs/>
          <w:sz w:val="21"/>
          <w:szCs w:val="28"/>
        </w:rPr>
        <w:t>On RRC parameter list</w:t>
      </w:r>
    </w:p>
    <w:p>
      <w:pPr>
        <w:overflowPunct w:val="0"/>
        <w:autoSpaceDE w:val="0"/>
        <w:autoSpaceDN w:val="0"/>
        <w:adjustRightInd w:val="0"/>
        <w:spacing w:after="180"/>
        <w:jc w:val="both"/>
        <w:textAlignment w:val="baseline"/>
        <w:rPr>
          <w:rFonts w:ascii="Times New Roman Bold" w:hAnsi="Times New Roman Bold" w:cs="Times New Roman Bold"/>
          <w:b/>
          <w:bCs/>
          <w:sz w:val="21"/>
          <w:szCs w:val="28"/>
        </w:rPr>
      </w:pPr>
      <w:r>
        <w:rPr>
          <w:rFonts w:ascii="Times New Roman Bold" w:hAnsi="Times New Roman Bold" w:cs="Times New Roman Bold"/>
          <w:b/>
          <w:bCs/>
          <w:sz w:val="21"/>
          <w:szCs w:val="28"/>
        </w:rPr>
        <w:t xml:space="preserve">Proposal 6: Row 13 (cellDTXconfig) and 14 (cellDRXconfig)  should be pending on RAN2 agreement on whether cell DRX can be individually configured.  </w:t>
      </w:r>
    </w:p>
    <w:p>
      <w:pPr>
        <w:overflowPunct w:val="0"/>
        <w:autoSpaceDE w:val="0"/>
        <w:autoSpaceDN w:val="0"/>
        <w:adjustRightInd w:val="0"/>
        <w:spacing w:after="180"/>
        <w:jc w:val="both"/>
        <w:textAlignment w:val="baseline"/>
        <w:rPr>
          <w:rFonts w:ascii="Times New Roman Bold" w:hAnsi="Times New Roman Bold" w:cs="Times New Roman Bold"/>
          <w:b/>
          <w:bCs/>
          <w:sz w:val="21"/>
          <w:szCs w:val="28"/>
        </w:rPr>
      </w:pPr>
      <w:r>
        <w:rPr>
          <w:rFonts w:ascii="Times New Roman Bold" w:hAnsi="Times New Roman Bold" w:cs="Times New Roman Bold"/>
          <w:b/>
          <w:bCs/>
          <w:sz w:val="21"/>
          <w:szCs w:val="28"/>
        </w:rPr>
        <w:t>Proposal 7: Row 15 (cellDTRX-DCI-config) should be the Parent IE for Row 17(cellDTRX-RNTI), 18(sizeDCI-2-x), and 20(positionInDCI-cellDTRX), and no need to explicitly configure whether the activation is for cell DTX and/or cell DRX. Otherwise Row 15 could be deleted and leave RAN2 to determine the structure.</w:t>
      </w:r>
    </w:p>
    <w:p>
      <w:pPr>
        <w:overflowPunct w:val="0"/>
        <w:autoSpaceDE w:val="0"/>
        <w:autoSpaceDN w:val="0"/>
        <w:adjustRightInd w:val="0"/>
        <w:spacing w:after="180"/>
        <w:jc w:val="both"/>
        <w:textAlignment w:val="baseline"/>
        <w:rPr>
          <w:sz w:val="21"/>
          <w:szCs w:val="28"/>
        </w:rPr>
      </w:pPr>
      <w:r>
        <w:rPr>
          <w:rFonts w:ascii="Times New Roman Bold" w:hAnsi="Times New Roman Bold" w:cs="Times New Roman Bold"/>
          <w:b/>
          <w:bCs/>
          <w:sz w:val="21"/>
          <w:szCs w:val="28"/>
        </w:rPr>
        <w:t xml:space="preserve">Proposal 8: Row 19 (searchSpace) should be the Parent IE of Row 16 (dci-Format2-X). Row 16 should be per search space configured and add in the parameter description that it can be configured in only one serving cell. </w:t>
      </w:r>
    </w:p>
    <w:p>
      <w:pPr>
        <w:overflowPunct w:val="0"/>
        <w:autoSpaceDE w:val="0"/>
        <w:autoSpaceDN w:val="0"/>
        <w:adjustRightInd w:val="0"/>
        <w:spacing w:after="180"/>
        <w:jc w:val="both"/>
        <w:textAlignment w:val="baseline"/>
        <w:rPr>
          <w:sz w:val="21"/>
          <w:szCs w:val="21"/>
        </w:rPr>
      </w:pPr>
      <w:r>
        <w:rPr>
          <w:rFonts w:ascii="Times New Roman Bold" w:hAnsi="Times New Roman Bold" w:cs="Times New Roman Bold"/>
          <w:b/>
          <w:bCs/>
          <w:sz w:val="21"/>
          <w:szCs w:val="28"/>
        </w:rPr>
        <w:t xml:space="preserve">Proposal 9: Row 17 (cellDTRX-RNTI) and 18 (sizeDCI-2-x) are per UE configured. </w:t>
      </w:r>
    </w:p>
    <w:p>
      <w:pPr>
        <w:pStyle w:val="2"/>
      </w:pPr>
      <w:r>
        <w:t xml:space="preserve"> Reference</w:t>
      </w:r>
    </w:p>
    <w:p>
      <w:pPr>
        <w:numPr>
          <w:ilvl w:val="0"/>
          <w:numId w:val="7"/>
        </w:numPr>
        <w:tabs>
          <w:tab w:val="clear" w:pos="657"/>
        </w:tabs>
        <w:overflowPunct w:val="0"/>
        <w:autoSpaceDE w:val="0"/>
        <w:autoSpaceDN w:val="0"/>
        <w:adjustRightInd w:val="0"/>
        <w:spacing w:before="100" w:beforeAutospacing="1" w:after="100" w:afterAutospacing="1"/>
        <w:ind w:left="562" w:hanging="562"/>
        <w:textAlignment w:val="baseline"/>
        <w:rPr>
          <w:sz w:val="21"/>
          <w:szCs w:val="21"/>
          <w:lang w:val="en-GB"/>
        </w:rPr>
      </w:pPr>
      <w:r>
        <w:rPr>
          <w:sz w:val="21"/>
          <w:szCs w:val="21"/>
        </w:rPr>
        <w:t>RAN1 Chair’s Notes, 3GPP TSG RAN WG1 #114, Toulouse</w:t>
      </w:r>
      <w:r>
        <w:rPr>
          <w:sz w:val="21"/>
          <w:szCs w:val="21"/>
          <w:lang w:eastAsia="ja-JP"/>
        </w:rPr>
        <w:t>, France, Aug 21st – Aug 25th, 2023</w:t>
      </w:r>
      <w:r>
        <w:rPr>
          <w:sz w:val="21"/>
          <w:szCs w:val="21"/>
        </w:rPr>
        <w:t>.</w:t>
      </w:r>
    </w:p>
    <w:sectPr>
      <w:pgSz w:w="11900" w:h="16840"/>
      <w:pgMar w:top="1440" w:right="1440" w:bottom="1440" w:left="144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Arial">
    <w:panose1 w:val="020B0604020202020204"/>
    <w:charset w:val="00"/>
    <w:family w:val="swiss"/>
    <w:pitch w:val="default"/>
    <w:sig w:usb0="00000000" w:usb1="00000000" w:usb2="00000000" w:usb3="00000000" w:csb0="00000000" w:csb1="00000000"/>
  </w:font>
  <w:font w:name="黑体">
    <w:altName w:val="汉仪中黑KW"/>
    <w:panose1 w:val="02010600030101010101"/>
    <w:charset w:val="00"/>
    <w:family w:val="auto"/>
    <w:pitch w:val="default"/>
    <w:sig w:usb0="00000001" w:usb1="080E0000" w:usb2="00000010" w:usb3="00000000" w:csb0="00040000" w:csb1="00000000"/>
  </w:font>
  <w:font w:name="Courier New">
    <w:panose1 w:val="02070309020205020404"/>
    <w:charset w:val="00"/>
    <w:family w:val="modern"/>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00000000" w:csb1="00000000"/>
  </w:font>
  <w:font w:name="Calibri">
    <w:altName w:val="Helvetica Neue"/>
    <w:panose1 w:val="020F0502020204030204"/>
    <w:charset w:val="00"/>
    <w:family w:val="swiss"/>
    <w:pitch w:val="default"/>
    <w:sig w:usb0="00000000" w:usb1="00000000" w:usb2="00000001" w:usb3="00000000" w:csb0="0000019F" w:csb1="00000000"/>
  </w:font>
  <w:font w:name="Malgun Gothic">
    <w:altName w:val="Apple SD Gothic Neo"/>
    <w:panose1 w:val="020B0503020000020004"/>
    <w:charset w:val="81"/>
    <w:family w:val="swiss"/>
    <w:pitch w:val="default"/>
    <w:sig w:usb0="00000000" w:usb1="00000000" w:usb2="00000012" w:usb3="00000000" w:csb0="00080001" w:csb1="00000000"/>
  </w:font>
  <w:font w:name="Times">
    <w:altName w:val="Times New Roman"/>
    <w:panose1 w:val="020B0604020202020204"/>
    <w:charset w:val="00"/>
    <w:family w:val="auto"/>
    <w:pitch w:val="default"/>
    <w:sig w:usb0="00000000" w:usb1="00000000" w:usb2="00000000" w:usb3="00000000" w:csb0="0000019F" w:csb1="00000000"/>
  </w:font>
  <w:font w:name="Batang">
    <w:altName w:val="Apple SD Gothic Neo"/>
    <w:panose1 w:val="02030600000101010101"/>
    <w:charset w:val="81"/>
    <w:family w:val="roman"/>
    <w:pitch w:val="default"/>
    <w:sig w:usb0="00000000" w:usb1="00000000" w:usb2="00000030" w:usb3="00000000" w:csb0="0008009F" w:csb1="00000000"/>
  </w:font>
  <w:font w:name="KaiTi_GB2312">
    <w:altName w:val="苹方-简"/>
    <w:panose1 w:val="020B0604020202020204"/>
    <w:charset w:val="86"/>
    <w:family w:val="modern"/>
    <w:pitch w:val="default"/>
    <w:sig w:usb0="00000000" w:usb1="00000000" w:usb2="00000010" w:usb3="00000000" w:csb0="00040000" w:csb1="00000000"/>
  </w:font>
  <w:font w:name="等线">
    <w:altName w:val="汉仪中等线KW"/>
    <w:panose1 w:val="00000000000000000000"/>
    <w:charset w:val="00"/>
    <w:family w:val="auto"/>
    <w:pitch w:val="default"/>
    <w:sig w:usb0="00000000" w:usb1="00000000" w:usb2="00000000" w:usb3="00000000" w:csb0="00000000" w:csb1="00000000"/>
  </w:font>
  <w:font w:name="ZapfDingbats">
    <w:altName w:val="Thonburi"/>
    <w:panose1 w:val="020B0604020202020204"/>
    <w:charset w:val="02"/>
    <w:family w:val="decorative"/>
    <w:pitch w:val="default"/>
    <w:sig w:usb0="00000000" w:usb1="00000000" w:usb2="00000000" w:usb3="00000000" w:csb0="80000000" w:csb1="00000000"/>
  </w:font>
  <w:font w:name="Symbol">
    <w:altName w:val="Kingsoft Sign"/>
    <w:panose1 w:val="05050102010706020507"/>
    <w:charset w:val="02"/>
    <w:family w:val="decorative"/>
    <w:pitch w:val="default"/>
    <w:sig w:usb0="00000000" w:usb1="00000000" w:usb2="00000000" w:usb3="00000000" w:csb0="80000001" w:csb1="00000000"/>
  </w:font>
  <w:font w:name="MS Mincho">
    <w:altName w:val="Hiragino Sans"/>
    <w:panose1 w:val="02020609040205080304"/>
    <w:charset w:val="80"/>
    <w:family w:val="modern"/>
    <w:pitch w:val="default"/>
    <w:sig w:usb0="00000000" w:usb1="00000000" w:usb2="08000012" w:usb3="00000000" w:csb0="0002009F" w:csb1="00000000"/>
  </w:font>
  <w:font w:name="Lucida Grande">
    <w:panose1 w:val="020B0600040502020204"/>
    <w:charset w:val="00"/>
    <w:family w:val="swiss"/>
    <w:pitch w:val="default"/>
    <w:sig w:usb0="00000000" w:usb1="00000000" w:usb2="00000000" w:usb3="00000000" w:csb0="00000000" w:csb1="00000000"/>
  </w:font>
  <w:font w:name="Times New Roman Bold">
    <w:panose1 w:val="02020603050405020304"/>
    <w:charset w:val="00"/>
    <w:family w:val="auto"/>
    <w:pitch w:val="default"/>
    <w:sig w:usb0="00000000" w:usb1="00000000" w:usb2="00000000" w:usb3="00000000" w:csb0="00000000" w:csb1="00000000"/>
  </w:font>
  <w:font w:name="Times New Roman Bold Italic">
    <w:panose1 w:val="02020603050405020304"/>
    <w:charset w:val="00"/>
    <w:family w:val="auto"/>
    <w:pitch w:val="default"/>
    <w:sig w:usb0="00000000" w:usb1="00000000" w:usb2="00000000" w:usb3="00000000" w:csb0="00000000" w:csb1="00000000"/>
  </w:font>
  <w:font w:name="v4.2.0">
    <w:altName w:val="苹方-简"/>
    <w:panose1 w:val="020B0604020202020204"/>
    <w:charset w:val="00"/>
    <w:family w:val="auto"/>
    <w:pitch w:val="default"/>
    <w:sig w:usb0="00000000" w:usb1="00000000" w:usb2="00000000" w:usb3="00000000" w:csb0="00040001" w:csb1="00000000"/>
  </w:font>
  <w:font w:name="?? ??">
    <w:altName w:val="Toppan Bunkyu Gothic"/>
    <w:panose1 w:val="020B0604020202020204"/>
    <w:charset w:val="80"/>
    <w:family w:val="roman"/>
    <w:pitch w:val="default"/>
    <w:sig w:usb0="00000000" w:usb1="00000000" w:usb2="00000010" w:usb3="00000000" w:csb0="00020000" w:csb1="00000000"/>
  </w:font>
  <w:font w:name="汉仪书宋二KW">
    <w:panose1 w:val="00020600040101010101"/>
    <w:charset w:val="86"/>
    <w:family w:val="auto"/>
    <w:pitch w:val="default"/>
    <w:sig w:usb0="00000000" w:usb1="00000000" w:usb2="00000000" w:usb3="00000000" w:csb0="00160000" w:csb1="00000000"/>
  </w:font>
  <w:font w:name="Kingsoft Sign">
    <w:panose1 w:val="05050102010706020507"/>
    <w:charset w:val="00"/>
    <w:family w:val="auto"/>
    <w:pitch w:val="default"/>
    <w:sig w:usb0="00000000" w:usb1="00000000" w:usb2="00000000" w:usb3="00000000" w:csb0="00000000" w:csb1="00000000"/>
  </w:font>
  <w:font w:name="汉仪中黑KW">
    <w:panose1 w:val="00020600040101010101"/>
    <w:charset w:val="86"/>
    <w:family w:val="auto"/>
    <w:pitch w:val="default"/>
    <w:sig w:usb0="00000000" w:usb1="00000000" w:usb2="00000000" w:usb3="00000000" w:csb0="00160000" w:csb1="00000000"/>
  </w:font>
  <w:font w:name="Helvetica Neue">
    <w:panose1 w:val="02000503000000020004"/>
    <w:charset w:val="00"/>
    <w:family w:val="auto"/>
    <w:pitch w:val="default"/>
    <w:sig w:usb0="00000000" w:usb1="00000000" w:usb2="00000000" w:usb3="00000000" w:csb0="00000000" w:csb1="00000000"/>
  </w:font>
  <w:font w:name="Apple SD Gothic Neo">
    <w:panose1 w:val="02000300000000000000"/>
    <w:charset w:val="86"/>
    <w:family w:val="auto"/>
    <w:pitch w:val="default"/>
    <w:sig w:usb0="00000000" w:usb1="00000000" w:usb2="00000000" w:usb3="00000000" w:csb0="003E0000" w:csb1="00000000"/>
  </w:font>
  <w:font w:name="苹方-简">
    <w:panose1 w:val="020B0400000000000000"/>
    <w:charset w:val="86"/>
    <w:family w:val="auto"/>
    <w:pitch w:val="default"/>
    <w:sig w:usb0="00000000" w:usb1="00000000" w:usb2="00000000" w:usb3="00000000" w:csb0="00160000" w:csb1="00000000"/>
  </w:font>
  <w:font w:name="汉仪中等线KW">
    <w:panose1 w:val="01010104010101010101"/>
    <w:charset w:val="86"/>
    <w:family w:val="auto"/>
    <w:pitch w:val="default"/>
    <w:sig w:usb0="00000000" w:usb1="00000000" w:usb2="00000000" w:usb3="00000000" w:csb0="00160000" w:csb1="00000000"/>
  </w:font>
  <w:font w:name="Thonburi">
    <w:panose1 w:val="00000400000000000000"/>
    <w:charset w:val="00"/>
    <w:family w:val="auto"/>
    <w:pitch w:val="default"/>
    <w:sig w:usb0="00000000" w:usb1="00000000" w:usb2="00000000" w:usb3="00000000" w:csb0="00000000" w:csb1="00000000"/>
  </w:font>
  <w:font w:name="Hiragino Sans">
    <w:panose1 w:val="020B0300000000000000"/>
    <w:charset w:val="86"/>
    <w:family w:val="auto"/>
    <w:pitch w:val="default"/>
    <w:sig w:usb0="00000000" w:usb1="00000000" w:usb2="00000000" w:usb3="00000000" w:csb0="00160000" w:csb1="00000000"/>
  </w:font>
  <w:font w:name="Toppan Bunkyu Gothic">
    <w:panose1 w:val="020B0400000000000000"/>
    <w:charset w:val="86"/>
    <w:family w:val="auto"/>
    <w:pitch w:val="default"/>
    <w:sig w:usb0="00000000" w:usb1="00000000" w:usb2="00000000" w:usb3="00000000" w:csb0="0016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FECB48"/>
    <w:multiLevelType w:val="singleLevel"/>
    <w:tmpl w:val="EFFECB48"/>
    <w:lvl w:ilvl="0" w:tentative="0">
      <w:start w:val="1"/>
      <w:numFmt w:val="decimal"/>
      <w:suff w:val="space"/>
      <w:lvlText w:val="%1."/>
      <w:lvlJc w:val="left"/>
    </w:lvl>
  </w:abstractNum>
  <w:abstractNum w:abstractNumId="1">
    <w:nsid w:val="00AB55BF"/>
    <w:multiLevelType w:val="singleLevel"/>
    <w:tmpl w:val="00AB55BF"/>
    <w:lvl w:ilvl="0" w:tentative="0">
      <w:start w:val="1"/>
      <w:numFmt w:val="decimal"/>
      <w:lvlText w:val="[%1]"/>
      <w:lvlJc w:val="left"/>
      <w:pPr>
        <w:tabs>
          <w:tab w:val="left" w:pos="657"/>
        </w:tabs>
        <w:ind w:left="657" w:hanging="567"/>
      </w:pPr>
      <w:rPr>
        <w:lang w:val="en-US"/>
      </w:rPr>
    </w:lvl>
  </w:abstractNum>
  <w:abstractNum w:abstractNumId="2">
    <w:nsid w:val="0168342D"/>
    <w:multiLevelType w:val="multilevel"/>
    <w:tmpl w:val="0168342D"/>
    <w:lvl w:ilvl="0" w:tentative="0">
      <w:start w:val="1"/>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lang w:val="en-US"/>
      </w:rPr>
    </w:lvl>
    <w:lvl w:ilvl="2" w:tentative="0">
      <w:start w:val="1"/>
      <w:numFmt w:val="decimal"/>
      <w:pStyle w:val="4"/>
      <w:lvlText w:val="%1.%2.%3"/>
      <w:lvlJc w:val="left"/>
      <w:pPr>
        <w:tabs>
          <w:tab w:val="left" w:pos="720"/>
        </w:tabs>
        <w:ind w:left="720" w:hanging="720"/>
      </w:pPr>
      <w:rPr>
        <w:rFonts w:hint="default"/>
        <w:sz w:val="28"/>
        <w:szCs w:val="28"/>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4">
    <w:nsid w:val="1A48626B"/>
    <w:multiLevelType w:val="multilevel"/>
    <w:tmpl w:val="1A48626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4BDA4BEE"/>
    <w:multiLevelType w:val="singleLevel"/>
    <w:tmpl w:val="4BDA4BEE"/>
    <w:lvl w:ilvl="0" w:tentative="0">
      <w:start w:val="1"/>
      <w:numFmt w:val="bullet"/>
      <w:lvlText w:val=""/>
      <w:lvlJc w:val="left"/>
      <w:pPr>
        <w:tabs>
          <w:tab w:val="left" w:pos="420"/>
        </w:tabs>
        <w:ind w:left="420" w:hanging="420"/>
      </w:pPr>
      <w:rPr>
        <w:rFonts w:hint="default" w:ascii="Wingdings" w:hAnsi="Wingdings"/>
      </w:rPr>
    </w:lvl>
  </w:abstractNum>
  <w:abstractNum w:abstractNumId="6">
    <w:nsid w:val="7BC330F5"/>
    <w:multiLevelType w:val="multilevel"/>
    <w:tmpl w:val="7BC330F5"/>
    <w:lvl w:ilvl="0" w:tentative="0">
      <w:start w:val="1"/>
      <w:numFmt w:val="bullet"/>
      <w:pStyle w:val="11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Batang"/>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Batang"/>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Batang"/>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2"/>
  </w:num>
  <w:num w:numId="4">
    <w:abstractNumId w:val="0"/>
  </w:num>
  <w:num w:numId="5">
    <w:abstractNumId w:val="4"/>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6"/>
  <w:doNotDisplayPageBoundaries w:val="1"/>
  <w:documentProtection w:enforcement="0"/>
  <w:defaultTabStop w:val="720"/>
  <w:noPunctuationKerning w:val="1"/>
  <w:characterSpacingControl w:val="doNotCompress"/>
  <w:footnotePr>
    <w:footnote w:id="0"/>
    <w:footnote w:id="1"/>
  </w:foot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3EB7"/>
    <w:rsid w:val="000007F0"/>
    <w:rsid w:val="000014BF"/>
    <w:rsid w:val="00003B22"/>
    <w:rsid w:val="00005299"/>
    <w:rsid w:val="000056AF"/>
    <w:rsid w:val="00005D7F"/>
    <w:rsid w:val="00007041"/>
    <w:rsid w:val="000119F5"/>
    <w:rsid w:val="00015C8C"/>
    <w:rsid w:val="00016535"/>
    <w:rsid w:val="00016EF6"/>
    <w:rsid w:val="000212EC"/>
    <w:rsid w:val="00022E38"/>
    <w:rsid w:val="00023868"/>
    <w:rsid w:val="00024452"/>
    <w:rsid w:val="00024721"/>
    <w:rsid w:val="00024CD4"/>
    <w:rsid w:val="00025F8E"/>
    <w:rsid w:val="00026645"/>
    <w:rsid w:val="0003027F"/>
    <w:rsid w:val="00031E68"/>
    <w:rsid w:val="00032067"/>
    <w:rsid w:val="00032FD3"/>
    <w:rsid w:val="00033580"/>
    <w:rsid w:val="00033D5B"/>
    <w:rsid w:val="00035CF3"/>
    <w:rsid w:val="00040DE2"/>
    <w:rsid w:val="00041988"/>
    <w:rsid w:val="00041A1A"/>
    <w:rsid w:val="00044CC2"/>
    <w:rsid w:val="00044EAE"/>
    <w:rsid w:val="00045050"/>
    <w:rsid w:val="00046268"/>
    <w:rsid w:val="00052EC1"/>
    <w:rsid w:val="00053C6E"/>
    <w:rsid w:val="000549ED"/>
    <w:rsid w:val="00054A83"/>
    <w:rsid w:val="0005612B"/>
    <w:rsid w:val="000605BB"/>
    <w:rsid w:val="000606C7"/>
    <w:rsid w:val="00061C12"/>
    <w:rsid w:val="00062BBD"/>
    <w:rsid w:val="00062BC5"/>
    <w:rsid w:val="00065688"/>
    <w:rsid w:val="00065D76"/>
    <w:rsid w:val="000664A1"/>
    <w:rsid w:val="000678A2"/>
    <w:rsid w:val="00073136"/>
    <w:rsid w:val="000762DB"/>
    <w:rsid w:val="00076345"/>
    <w:rsid w:val="00076694"/>
    <w:rsid w:val="00077166"/>
    <w:rsid w:val="000775E2"/>
    <w:rsid w:val="00077DB2"/>
    <w:rsid w:val="00082C24"/>
    <w:rsid w:val="00084EE1"/>
    <w:rsid w:val="000853BB"/>
    <w:rsid w:val="000862B8"/>
    <w:rsid w:val="00087770"/>
    <w:rsid w:val="000908D3"/>
    <w:rsid w:val="0009177D"/>
    <w:rsid w:val="00092A9B"/>
    <w:rsid w:val="000966B3"/>
    <w:rsid w:val="00096D33"/>
    <w:rsid w:val="00096DEA"/>
    <w:rsid w:val="000A1890"/>
    <w:rsid w:val="000A2AAA"/>
    <w:rsid w:val="000A4F20"/>
    <w:rsid w:val="000A5510"/>
    <w:rsid w:val="000B0BD2"/>
    <w:rsid w:val="000B0FBC"/>
    <w:rsid w:val="000B1D4E"/>
    <w:rsid w:val="000B39FE"/>
    <w:rsid w:val="000B3D62"/>
    <w:rsid w:val="000B4EF8"/>
    <w:rsid w:val="000B5056"/>
    <w:rsid w:val="000C364C"/>
    <w:rsid w:val="000C3D00"/>
    <w:rsid w:val="000C62A2"/>
    <w:rsid w:val="000C67D9"/>
    <w:rsid w:val="000D1833"/>
    <w:rsid w:val="000D1A8F"/>
    <w:rsid w:val="000D250D"/>
    <w:rsid w:val="000D346B"/>
    <w:rsid w:val="000D4B3E"/>
    <w:rsid w:val="000D6665"/>
    <w:rsid w:val="000D726E"/>
    <w:rsid w:val="000E0D82"/>
    <w:rsid w:val="000E1755"/>
    <w:rsid w:val="000E454B"/>
    <w:rsid w:val="000E6D0D"/>
    <w:rsid w:val="000F2C70"/>
    <w:rsid w:val="000F4309"/>
    <w:rsid w:val="000F50F7"/>
    <w:rsid w:val="000F6ABF"/>
    <w:rsid w:val="001003EC"/>
    <w:rsid w:val="00100E42"/>
    <w:rsid w:val="001011FB"/>
    <w:rsid w:val="00101636"/>
    <w:rsid w:val="001018CA"/>
    <w:rsid w:val="00101DDF"/>
    <w:rsid w:val="00102479"/>
    <w:rsid w:val="00104EEB"/>
    <w:rsid w:val="0010771B"/>
    <w:rsid w:val="00107D1C"/>
    <w:rsid w:val="00111373"/>
    <w:rsid w:val="00112186"/>
    <w:rsid w:val="00112818"/>
    <w:rsid w:val="00113AD9"/>
    <w:rsid w:val="001144DC"/>
    <w:rsid w:val="00114BDE"/>
    <w:rsid w:val="00114DBF"/>
    <w:rsid w:val="001169A5"/>
    <w:rsid w:val="001169AF"/>
    <w:rsid w:val="00117BAC"/>
    <w:rsid w:val="00120FCF"/>
    <w:rsid w:val="00121823"/>
    <w:rsid w:val="00123090"/>
    <w:rsid w:val="001235A7"/>
    <w:rsid w:val="00126C56"/>
    <w:rsid w:val="00126FC9"/>
    <w:rsid w:val="00127219"/>
    <w:rsid w:val="00132DC3"/>
    <w:rsid w:val="00133713"/>
    <w:rsid w:val="001346FC"/>
    <w:rsid w:val="0013510C"/>
    <w:rsid w:val="00136915"/>
    <w:rsid w:val="00136DC0"/>
    <w:rsid w:val="00137593"/>
    <w:rsid w:val="00140849"/>
    <w:rsid w:val="00141A14"/>
    <w:rsid w:val="001454B7"/>
    <w:rsid w:val="00150EC2"/>
    <w:rsid w:val="00153773"/>
    <w:rsid w:val="00154FF8"/>
    <w:rsid w:val="00155784"/>
    <w:rsid w:val="00156118"/>
    <w:rsid w:val="00164E9A"/>
    <w:rsid w:val="00166F73"/>
    <w:rsid w:val="00170E5B"/>
    <w:rsid w:val="00171395"/>
    <w:rsid w:val="00172226"/>
    <w:rsid w:val="001779C8"/>
    <w:rsid w:val="001825FA"/>
    <w:rsid w:val="00182C97"/>
    <w:rsid w:val="00183BD4"/>
    <w:rsid w:val="00183C8E"/>
    <w:rsid w:val="00183EA6"/>
    <w:rsid w:val="00183F0C"/>
    <w:rsid w:val="001849A2"/>
    <w:rsid w:val="00184C88"/>
    <w:rsid w:val="0018607A"/>
    <w:rsid w:val="00191E52"/>
    <w:rsid w:val="00194352"/>
    <w:rsid w:val="00194BBD"/>
    <w:rsid w:val="0019518E"/>
    <w:rsid w:val="00195AB1"/>
    <w:rsid w:val="0019676A"/>
    <w:rsid w:val="0019789C"/>
    <w:rsid w:val="001979C6"/>
    <w:rsid w:val="001A0A1C"/>
    <w:rsid w:val="001A13AE"/>
    <w:rsid w:val="001A5D07"/>
    <w:rsid w:val="001A64D3"/>
    <w:rsid w:val="001B2AEE"/>
    <w:rsid w:val="001B590D"/>
    <w:rsid w:val="001B6534"/>
    <w:rsid w:val="001B6620"/>
    <w:rsid w:val="001B73D5"/>
    <w:rsid w:val="001C1058"/>
    <w:rsid w:val="001C164B"/>
    <w:rsid w:val="001C3C97"/>
    <w:rsid w:val="001C50ED"/>
    <w:rsid w:val="001C52C8"/>
    <w:rsid w:val="001C5837"/>
    <w:rsid w:val="001C5D48"/>
    <w:rsid w:val="001D4853"/>
    <w:rsid w:val="001D5CE5"/>
    <w:rsid w:val="001D7136"/>
    <w:rsid w:val="001D7391"/>
    <w:rsid w:val="001D749D"/>
    <w:rsid w:val="001D7DD6"/>
    <w:rsid w:val="001E0EF1"/>
    <w:rsid w:val="001E21BF"/>
    <w:rsid w:val="001E6606"/>
    <w:rsid w:val="001F2E81"/>
    <w:rsid w:val="001F6456"/>
    <w:rsid w:val="00200DFE"/>
    <w:rsid w:val="00201BFB"/>
    <w:rsid w:val="00205DCA"/>
    <w:rsid w:val="00206F62"/>
    <w:rsid w:val="002116CD"/>
    <w:rsid w:val="002134C9"/>
    <w:rsid w:val="00214A86"/>
    <w:rsid w:val="002153A2"/>
    <w:rsid w:val="00215907"/>
    <w:rsid w:val="00220D66"/>
    <w:rsid w:val="00221741"/>
    <w:rsid w:val="00221FFC"/>
    <w:rsid w:val="00222276"/>
    <w:rsid w:val="00225FEE"/>
    <w:rsid w:val="002317A9"/>
    <w:rsid w:val="0023532F"/>
    <w:rsid w:val="00235D8F"/>
    <w:rsid w:val="0024304C"/>
    <w:rsid w:val="0025179D"/>
    <w:rsid w:val="00252B41"/>
    <w:rsid w:val="00252C11"/>
    <w:rsid w:val="002562FA"/>
    <w:rsid w:val="00261928"/>
    <w:rsid w:val="00265AB0"/>
    <w:rsid w:val="00266E0F"/>
    <w:rsid w:val="00270EC8"/>
    <w:rsid w:val="00271C5A"/>
    <w:rsid w:val="002738F9"/>
    <w:rsid w:val="00274F27"/>
    <w:rsid w:val="00276E66"/>
    <w:rsid w:val="00284AB0"/>
    <w:rsid w:val="00285B13"/>
    <w:rsid w:val="00290BA8"/>
    <w:rsid w:val="0029228D"/>
    <w:rsid w:val="00292936"/>
    <w:rsid w:val="002948FF"/>
    <w:rsid w:val="002961AE"/>
    <w:rsid w:val="002972B7"/>
    <w:rsid w:val="002A10F1"/>
    <w:rsid w:val="002A1DDB"/>
    <w:rsid w:val="002A274D"/>
    <w:rsid w:val="002A2EAF"/>
    <w:rsid w:val="002A3617"/>
    <w:rsid w:val="002A3EE0"/>
    <w:rsid w:val="002A5B21"/>
    <w:rsid w:val="002A7156"/>
    <w:rsid w:val="002A7D55"/>
    <w:rsid w:val="002A7DEC"/>
    <w:rsid w:val="002B0E6E"/>
    <w:rsid w:val="002B162B"/>
    <w:rsid w:val="002B2343"/>
    <w:rsid w:val="002B517B"/>
    <w:rsid w:val="002B5FC9"/>
    <w:rsid w:val="002B64E8"/>
    <w:rsid w:val="002B72EE"/>
    <w:rsid w:val="002B72F3"/>
    <w:rsid w:val="002B741F"/>
    <w:rsid w:val="002B7EA4"/>
    <w:rsid w:val="002C0920"/>
    <w:rsid w:val="002C0CC1"/>
    <w:rsid w:val="002C1D79"/>
    <w:rsid w:val="002C2052"/>
    <w:rsid w:val="002C24C8"/>
    <w:rsid w:val="002C25FB"/>
    <w:rsid w:val="002C4EFD"/>
    <w:rsid w:val="002C57AC"/>
    <w:rsid w:val="002C5C26"/>
    <w:rsid w:val="002C656D"/>
    <w:rsid w:val="002D0C8B"/>
    <w:rsid w:val="002D3BD9"/>
    <w:rsid w:val="002D7C83"/>
    <w:rsid w:val="002E003F"/>
    <w:rsid w:val="002E508D"/>
    <w:rsid w:val="002E6057"/>
    <w:rsid w:val="002E7927"/>
    <w:rsid w:val="002F0144"/>
    <w:rsid w:val="002F0B86"/>
    <w:rsid w:val="002F2FC8"/>
    <w:rsid w:val="002F407E"/>
    <w:rsid w:val="002F42EE"/>
    <w:rsid w:val="002F4B0B"/>
    <w:rsid w:val="002F4B22"/>
    <w:rsid w:val="002F7DB3"/>
    <w:rsid w:val="00300D43"/>
    <w:rsid w:val="0030389E"/>
    <w:rsid w:val="00303942"/>
    <w:rsid w:val="00304247"/>
    <w:rsid w:val="003105DC"/>
    <w:rsid w:val="00314966"/>
    <w:rsid w:val="00314980"/>
    <w:rsid w:val="0031538C"/>
    <w:rsid w:val="003156FB"/>
    <w:rsid w:val="00315C5F"/>
    <w:rsid w:val="00317A97"/>
    <w:rsid w:val="00317E65"/>
    <w:rsid w:val="00320B3B"/>
    <w:rsid w:val="00320FF5"/>
    <w:rsid w:val="00322D6D"/>
    <w:rsid w:val="003255ED"/>
    <w:rsid w:val="0032703D"/>
    <w:rsid w:val="00327D92"/>
    <w:rsid w:val="00330871"/>
    <w:rsid w:val="003325F2"/>
    <w:rsid w:val="00336AC8"/>
    <w:rsid w:val="003376F4"/>
    <w:rsid w:val="00337A40"/>
    <w:rsid w:val="003400A5"/>
    <w:rsid w:val="00340B06"/>
    <w:rsid w:val="0034107F"/>
    <w:rsid w:val="0034266A"/>
    <w:rsid w:val="00342ED5"/>
    <w:rsid w:val="00343B77"/>
    <w:rsid w:val="0034417B"/>
    <w:rsid w:val="00344198"/>
    <w:rsid w:val="0035197B"/>
    <w:rsid w:val="00351A7C"/>
    <w:rsid w:val="0035494F"/>
    <w:rsid w:val="003555CA"/>
    <w:rsid w:val="00356A2B"/>
    <w:rsid w:val="00356B36"/>
    <w:rsid w:val="00360564"/>
    <w:rsid w:val="003634FF"/>
    <w:rsid w:val="00366F52"/>
    <w:rsid w:val="00370909"/>
    <w:rsid w:val="003715F4"/>
    <w:rsid w:val="00371BE8"/>
    <w:rsid w:val="00372217"/>
    <w:rsid w:val="00372FCA"/>
    <w:rsid w:val="00373D1C"/>
    <w:rsid w:val="00374BF7"/>
    <w:rsid w:val="00376CBE"/>
    <w:rsid w:val="00377855"/>
    <w:rsid w:val="00380033"/>
    <w:rsid w:val="00380980"/>
    <w:rsid w:val="00381063"/>
    <w:rsid w:val="00382A85"/>
    <w:rsid w:val="00382E2B"/>
    <w:rsid w:val="0038307C"/>
    <w:rsid w:val="003831FB"/>
    <w:rsid w:val="0038363C"/>
    <w:rsid w:val="00383A52"/>
    <w:rsid w:val="00384D99"/>
    <w:rsid w:val="00386476"/>
    <w:rsid w:val="00387AB3"/>
    <w:rsid w:val="00391941"/>
    <w:rsid w:val="00391B65"/>
    <w:rsid w:val="00391E20"/>
    <w:rsid w:val="00391FB9"/>
    <w:rsid w:val="00394BA2"/>
    <w:rsid w:val="00395759"/>
    <w:rsid w:val="003A1D4B"/>
    <w:rsid w:val="003A37A0"/>
    <w:rsid w:val="003B1736"/>
    <w:rsid w:val="003B1F3B"/>
    <w:rsid w:val="003C4E3C"/>
    <w:rsid w:val="003C5441"/>
    <w:rsid w:val="003C59D3"/>
    <w:rsid w:val="003C5B14"/>
    <w:rsid w:val="003C6788"/>
    <w:rsid w:val="003D066D"/>
    <w:rsid w:val="003D3D1F"/>
    <w:rsid w:val="003D3FBA"/>
    <w:rsid w:val="003D64ED"/>
    <w:rsid w:val="003D6E56"/>
    <w:rsid w:val="003D7E3B"/>
    <w:rsid w:val="003E0A77"/>
    <w:rsid w:val="003E164B"/>
    <w:rsid w:val="003E3570"/>
    <w:rsid w:val="003E3631"/>
    <w:rsid w:val="003E394E"/>
    <w:rsid w:val="003E5DC3"/>
    <w:rsid w:val="003E75B6"/>
    <w:rsid w:val="003F027C"/>
    <w:rsid w:val="003F1C0C"/>
    <w:rsid w:val="003F36E6"/>
    <w:rsid w:val="003F511D"/>
    <w:rsid w:val="003F670D"/>
    <w:rsid w:val="003F7C65"/>
    <w:rsid w:val="00400CC3"/>
    <w:rsid w:val="004029ED"/>
    <w:rsid w:val="0040315C"/>
    <w:rsid w:val="004038C5"/>
    <w:rsid w:val="00403A18"/>
    <w:rsid w:val="00406FB8"/>
    <w:rsid w:val="0041178A"/>
    <w:rsid w:val="00412538"/>
    <w:rsid w:val="00412A3F"/>
    <w:rsid w:val="00416665"/>
    <w:rsid w:val="00417FC9"/>
    <w:rsid w:val="004211E9"/>
    <w:rsid w:val="0042146E"/>
    <w:rsid w:val="004219D8"/>
    <w:rsid w:val="00423711"/>
    <w:rsid w:val="0042491A"/>
    <w:rsid w:val="00424DF4"/>
    <w:rsid w:val="00425166"/>
    <w:rsid w:val="00425D9D"/>
    <w:rsid w:val="0042626C"/>
    <w:rsid w:val="00426466"/>
    <w:rsid w:val="00427B4D"/>
    <w:rsid w:val="00427E33"/>
    <w:rsid w:val="00430AB1"/>
    <w:rsid w:val="00431CD3"/>
    <w:rsid w:val="0043338E"/>
    <w:rsid w:val="00435B4D"/>
    <w:rsid w:val="004379A6"/>
    <w:rsid w:val="004419AF"/>
    <w:rsid w:val="004419D4"/>
    <w:rsid w:val="00442EBE"/>
    <w:rsid w:val="00443850"/>
    <w:rsid w:val="00443ECE"/>
    <w:rsid w:val="00446818"/>
    <w:rsid w:val="00446964"/>
    <w:rsid w:val="004533BD"/>
    <w:rsid w:val="004537D9"/>
    <w:rsid w:val="00453FB9"/>
    <w:rsid w:val="004573F6"/>
    <w:rsid w:val="00461B15"/>
    <w:rsid w:val="00462395"/>
    <w:rsid w:val="00462B1E"/>
    <w:rsid w:val="00466C57"/>
    <w:rsid w:val="00470DC6"/>
    <w:rsid w:val="00471A63"/>
    <w:rsid w:val="00472AA0"/>
    <w:rsid w:val="0047580C"/>
    <w:rsid w:val="00475C2B"/>
    <w:rsid w:val="00476E28"/>
    <w:rsid w:val="00482475"/>
    <w:rsid w:val="00485C11"/>
    <w:rsid w:val="00485D2C"/>
    <w:rsid w:val="004871D8"/>
    <w:rsid w:val="00487871"/>
    <w:rsid w:val="00490D63"/>
    <w:rsid w:val="00493010"/>
    <w:rsid w:val="004930A8"/>
    <w:rsid w:val="0049590D"/>
    <w:rsid w:val="00496D0C"/>
    <w:rsid w:val="004A088B"/>
    <w:rsid w:val="004A09FD"/>
    <w:rsid w:val="004A1D87"/>
    <w:rsid w:val="004A2094"/>
    <w:rsid w:val="004A3202"/>
    <w:rsid w:val="004A41EF"/>
    <w:rsid w:val="004B2C35"/>
    <w:rsid w:val="004B3124"/>
    <w:rsid w:val="004B4905"/>
    <w:rsid w:val="004B4915"/>
    <w:rsid w:val="004B74CC"/>
    <w:rsid w:val="004C0592"/>
    <w:rsid w:val="004C3D56"/>
    <w:rsid w:val="004C67C6"/>
    <w:rsid w:val="004C7091"/>
    <w:rsid w:val="004D2687"/>
    <w:rsid w:val="004D2E3C"/>
    <w:rsid w:val="004D3644"/>
    <w:rsid w:val="004D51F4"/>
    <w:rsid w:val="004E0DC0"/>
    <w:rsid w:val="004E1633"/>
    <w:rsid w:val="004E3B01"/>
    <w:rsid w:val="004F1A9A"/>
    <w:rsid w:val="004F2CDB"/>
    <w:rsid w:val="004F33C6"/>
    <w:rsid w:val="004F3DD8"/>
    <w:rsid w:val="004F420D"/>
    <w:rsid w:val="004F51C0"/>
    <w:rsid w:val="004F6311"/>
    <w:rsid w:val="00500D45"/>
    <w:rsid w:val="00501FE2"/>
    <w:rsid w:val="005026E6"/>
    <w:rsid w:val="00503B8A"/>
    <w:rsid w:val="005040B6"/>
    <w:rsid w:val="00505C90"/>
    <w:rsid w:val="00512C1E"/>
    <w:rsid w:val="005136EB"/>
    <w:rsid w:val="005150C5"/>
    <w:rsid w:val="0051562B"/>
    <w:rsid w:val="00517ADD"/>
    <w:rsid w:val="00522146"/>
    <w:rsid w:val="00530155"/>
    <w:rsid w:val="00530AB8"/>
    <w:rsid w:val="00531AF4"/>
    <w:rsid w:val="005363A1"/>
    <w:rsid w:val="0053782C"/>
    <w:rsid w:val="00542D13"/>
    <w:rsid w:val="00545841"/>
    <w:rsid w:val="0054627C"/>
    <w:rsid w:val="00546CF4"/>
    <w:rsid w:val="00547066"/>
    <w:rsid w:val="00547521"/>
    <w:rsid w:val="00550F71"/>
    <w:rsid w:val="005521F9"/>
    <w:rsid w:val="0055302F"/>
    <w:rsid w:val="00553EAD"/>
    <w:rsid w:val="00555942"/>
    <w:rsid w:val="00556671"/>
    <w:rsid w:val="005578A1"/>
    <w:rsid w:val="00562D9F"/>
    <w:rsid w:val="00563113"/>
    <w:rsid w:val="00563409"/>
    <w:rsid w:val="005650F8"/>
    <w:rsid w:val="005652C8"/>
    <w:rsid w:val="00575E57"/>
    <w:rsid w:val="00580D71"/>
    <w:rsid w:val="005811A6"/>
    <w:rsid w:val="00581A40"/>
    <w:rsid w:val="00584A97"/>
    <w:rsid w:val="0058785F"/>
    <w:rsid w:val="005914F4"/>
    <w:rsid w:val="005915B1"/>
    <w:rsid w:val="00591B56"/>
    <w:rsid w:val="005954E4"/>
    <w:rsid w:val="0059683F"/>
    <w:rsid w:val="005974B9"/>
    <w:rsid w:val="005A104F"/>
    <w:rsid w:val="005A114F"/>
    <w:rsid w:val="005A58BA"/>
    <w:rsid w:val="005A6299"/>
    <w:rsid w:val="005A6421"/>
    <w:rsid w:val="005A6C69"/>
    <w:rsid w:val="005A6DBC"/>
    <w:rsid w:val="005B1AD1"/>
    <w:rsid w:val="005B2A7D"/>
    <w:rsid w:val="005B3B11"/>
    <w:rsid w:val="005B42F9"/>
    <w:rsid w:val="005B6997"/>
    <w:rsid w:val="005B6B0D"/>
    <w:rsid w:val="005C2719"/>
    <w:rsid w:val="005C3773"/>
    <w:rsid w:val="005C5958"/>
    <w:rsid w:val="005D1B34"/>
    <w:rsid w:val="005D38B1"/>
    <w:rsid w:val="005D45F7"/>
    <w:rsid w:val="005D4688"/>
    <w:rsid w:val="005D4897"/>
    <w:rsid w:val="005D57A7"/>
    <w:rsid w:val="005D7AC2"/>
    <w:rsid w:val="005E0090"/>
    <w:rsid w:val="005E0399"/>
    <w:rsid w:val="005E1A31"/>
    <w:rsid w:val="005E1F18"/>
    <w:rsid w:val="005E25D8"/>
    <w:rsid w:val="005E4276"/>
    <w:rsid w:val="005E6DA3"/>
    <w:rsid w:val="005E7035"/>
    <w:rsid w:val="005F2A4A"/>
    <w:rsid w:val="005F38F3"/>
    <w:rsid w:val="005F5A01"/>
    <w:rsid w:val="005F7A0E"/>
    <w:rsid w:val="00605709"/>
    <w:rsid w:val="006134C7"/>
    <w:rsid w:val="00613729"/>
    <w:rsid w:val="0061392B"/>
    <w:rsid w:val="00617467"/>
    <w:rsid w:val="0061765C"/>
    <w:rsid w:val="0061775A"/>
    <w:rsid w:val="00622A7B"/>
    <w:rsid w:val="00626534"/>
    <w:rsid w:val="00627F77"/>
    <w:rsid w:val="00631A14"/>
    <w:rsid w:val="006321CF"/>
    <w:rsid w:val="00634E11"/>
    <w:rsid w:val="00635837"/>
    <w:rsid w:val="00635BB2"/>
    <w:rsid w:val="00636D7B"/>
    <w:rsid w:val="00637370"/>
    <w:rsid w:val="00637795"/>
    <w:rsid w:val="00637B78"/>
    <w:rsid w:val="00637D4A"/>
    <w:rsid w:val="00640813"/>
    <w:rsid w:val="0064160B"/>
    <w:rsid w:val="00643233"/>
    <w:rsid w:val="006448FE"/>
    <w:rsid w:val="00645C21"/>
    <w:rsid w:val="00651982"/>
    <w:rsid w:val="00652D52"/>
    <w:rsid w:val="006531B1"/>
    <w:rsid w:val="006539F3"/>
    <w:rsid w:val="00653AA3"/>
    <w:rsid w:val="00654524"/>
    <w:rsid w:val="006548FB"/>
    <w:rsid w:val="006559EA"/>
    <w:rsid w:val="00661178"/>
    <w:rsid w:val="00664429"/>
    <w:rsid w:val="00667DAE"/>
    <w:rsid w:val="00672427"/>
    <w:rsid w:val="00673800"/>
    <w:rsid w:val="006765F4"/>
    <w:rsid w:val="00676CDC"/>
    <w:rsid w:val="00676D42"/>
    <w:rsid w:val="00684E0C"/>
    <w:rsid w:val="006861C3"/>
    <w:rsid w:val="0068732F"/>
    <w:rsid w:val="00687ACA"/>
    <w:rsid w:val="00691279"/>
    <w:rsid w:val="00694506"/>
    <w:rsid w:val="0069487D"/>
    <w:rsid w:val="00695923"/>
    <w:rsid w:val="006A0771"/>
    <w:rsid w:val="006A13FE"/>
    <w:rsid w:val="006A1F3D"/>
    <w:rsid w:val="006A45D6"/>
    <w:rsid w:val="006A7014"/>
    <w:rsid w:val="006B0B7F"/>
    <w:rsid w:val="006B1BC1"/>
    <w:rsid w:val="006B2E49"/>
    <w:rsid w:val="006B3BEC"/>
    <w:rsid w:val="006B437D"/>
    <w:rsid w:val="006B4FD7"/>
    <w:rsid w:val="006C4B4A"/>
    <w:rsid w:val="006D4C06"/>
    <w:rsid w:val="006D54CF"/>
    <w:rsid w:val="006D59AE"/>
    <w:rsid w:val="006D67D9"/>
    <w:rsid w:val="006D7F94"/>
    <w:rsid w:val="006E27C0"/>
    <w:rsid w:val="006E3662"/>
    <w:rsid w:val="006E5665"/>
    <w:rsid w:val="006E6ED9"/>
    <w:rsid w:val="006F0EC9"/>
    <w:rsid w:val="006F24E6"/>
    <w:rsid w:val="006F2F71"/>
    <w:rsid w:val="006F4223"/>
    <w:rsid w:val="006F4C6B"/>
    <w:rsid w:val="006F6B61"/>
    <w:rsid w:val="007003F1"/>
    <w:rsid w:val="00702012"/>
    <w:rsid w:val="00702BAF"/>
    <w:rsid w:val="00703DF3"/>
    <w:rsid w:val="00704261"/>
    <w:rsid w:val="00704C59"/>
    <w:rsid w:val="00711753"/>
    <w:rsid w:val="0071337B"/>
    <w:rsid w:val="00714A6C"/>
    <w:rsid w:val="00716045"/>
    <w:rsid w:val="007207B5"/>
    <w:rsid w:val="00723164"/>
    <w:rsid w:val="00723E69"/>
    <w:rsid w:val="007242F7"/>
    <w:rsid w:val="00724ACC"/>
    <w:rsid w:val="00724D2C"/>
    <w:rsid w:val="007278BF"/>
    <w:rsid w:val="007307C5"/>
    <w:rsid w:val="007309DC"/>
    <w:rsid w:val="00732388"/>
    <w:rsid w:val="007356B2"/>
    <w:rsid w:val="00740A54"/>
    <w:rsid w:val="00740EE8"/>
    <w:rsid w:val="00743EA9"/>
    <w:rsid w:val="00745905"/>
    <w:rsid w:val="0074689D"/>
    <w:rsid w:val="00750A0B"/>
    <w:rsid w:val="00751293"/>
    <w:rsid w:val="00753785"/>
    <w:rsid w:val="007541B8"/>
    <w:rsid w:val="007544F6"/>
    <w:rsid w:val="00757D0B"/>
    <w:rsid w:val="00757E34"/>
    <w:rsid w:val="0076003F"/>
    <w:rsid w:val="007600A6"/>
    <w:rsid w:val="00763CC6"/>
    <w:rsid w:val="0076431A"/>
    <w:rsid w:val="00766F27"/>
    <w:rsid w:val="00771A52"/>
    <w:rsid w:val="007762A6"/>
    <w:rsid w:val="0078114E"/>
    <w:rsid w:val="00781D42"/>
    <w:rsid w:val="0078248E"/>
    <w:rsid w:val="00784EE4"/>
    <w:rsid w:val="00785D4A"/>
    <w:rsid w:val="0078750C"/>
    <w:rsid w:val="007879E8"/>
    <w:rsid w:val="00787BD3"/>
    <w:rsid w:val="0079058B"/>
    <w:rsid w:val="00791511"/>
    <w:rsid w:val="00791540"/>
    <w:rsid w:val="00796EBC"/>
    <w:rsid w:val="007A15FD"/>
    <w:rsid w:val="007A1B25"/>
    <w:rsid w:val="007A67B9"/>
    <w:rsid w:val="007A7706"/>
    <w:rsid w:val="007B1244"/>
    <w:rsid w:val="007B5066"/>
    <w:rsid w:val="007B662F"/>
    <w:rsid w:val="007B6D8F"/>
    <w:rsid w:val="007C07AD"/>
    <w:rsid w:val="007C1868"/>
    <w:rsid w:val="007C1DD4"/>
    <w:rsid w:val="007C445F"/>
    <w:rsid w:val="007C4980"/>
    <w:rsid w:val="007C6FED"/>
    <w:rsid w:val="007D203F"/>
    <w:rsid w:val="007D585D"/>
    <w:rsid w:val="007D61E0"/>
    <w:rsid w:val="007D684D"/>
    <w:rsid w:val="007D6F2A"/>
    <w:rsid w:val="007E0050"/>
    <w:rsid w:val="007E3C5F"/>
    <w:rsid w:val="007E3FE1"/>
    <w:rsid w:val="007E554B"/>
    <w:rsid w:val="007E6C44"/>
    <w:rsid w:val="007E6FF6"/>
    <w:rsid w:val="007E7FD0"/>
    <w:rsid w:val="007F07F8"/>
    <w:rsid w:val="007F128C"/>
    <w:rsid w:val="007F31E4"/>
    <w:rsid w:val="007F3DD0"/>
    <w:rsid w:val="007F4D2C"/>
    <w:rsid w:val="007F690B"/>
    <w:rsid w:val="0080472A"/>
    <w:rsid w:val="00804C1A"/>
    <w:rsid w:val="00805017"/>
    <w:rsid w:val="00805A83"/>
    <w:rsid w:val="00807B65"/>
    <w:rsid w:val="00810911"/>
    <w:rsid w:val="00811DFE"/>
    <w:rsid w:val="008139FF"/>
    <w:rsid w:val="008144EA"/>
    <w:rsid w:val="008217D8"/>
    <w:rsid w:val="00821AA3"/>
    <w:rsid w:val="00822A55"/>
    <w:rsid w:val="00824EBE"/>
    <w:rsid w:val="0082513E"/>
    <w:rsid w:val="00825353"/>
    <w:rsid w:val="008273C9"/>
    <w:rsid w:val="00827671"/>
    <w:rsid w:val="0083185D"/>
    <w:rsid w:val="00845458"/>
    <w:rsid w:val="008461C8"/>
    <w:rsid w:val="00847AB1"/>
    <w:rsid w:val="00851796"/>
    <w:rsid w:val="008556B9"/>
    <w:rsid w:val="0085663E"/>
    <w:rsid w:val="008575B7"/>
    <w:rsid w:val="0086017E"/>
    <w:rsid w:val="00860BE2"/>
    <w:rsid w:val="008612FB"/>
    <w:rsid w:val="0086332B"/>
    <w:rsid w:val="00864947"/>
    <w:rsid w:val="008731D4"/>
    <w:rsid w:val="00873C38"/>
    <w:rsid w:val="00874A6B"/>
    <w:rsid w:val="00875620"/>
    <w:rsid w:val="00877AFF"/>
    <w:rsid w:val="008807D9"/>
    <w:rsid w:val="00882785"/>
    <w:rsid w:val="00886D57"/>
    <w:rsid w:val="00887123"/>
    <w:rsid w:val="00887423"/>
    <w:rsid w:val="00887FA8"/>
    <w:rsid w:val="0089138A"/>
    <w:rsid w:val="00891E9E"/>
    <w:rsid w:val="00892131"/>
    <w:rsid w:val="00894098"/>
    <w:rsid w:val="00894787"/>
    <w:rsid w:val="00895000"/>
    <w:rsid w:val="00896948"/>
    <w:rsid w:val="008A25E9"/>
    <w:rsid w:val="008A428B"/>
    <w:rsid w:val="008A4FF9"/>
    <w:rsid w:val="008A65A1"/>
    <w:rsid w:val="008A75A7"/>
    <w:rsid w:val="008B0AFA"/>
    <w:rsid w:val="008B24BF"/>
    <w:rsid w:val="008B70E6"/>
    <w:rsid w:val="008C2CD3"/>
    <w:rsid w:val="008C75AA"/>
    <w:rsid w:val="008D00A5"/>
    <w:rsid w:val="008D02B2"/>
    <w:rsid w:val="008D0789"/>
    <w:rsid w:val="008D0EB0"/>
    <w:rsid w:val="008D4840"/>
    <w:rsid w:val="008D53CF"/>
    <w:rsid w:val="008D6AE1"/>
    <w:rsid w:val="008D767B"/>
    <w:rsid w:val="008D76F6"/>
    <w:rsid w:val="008E4DB0"/>
    <w:rsid w:val="008E5031"/>
    <w:rsid w:val="008E55FB"/>
    <w:rsid w:val="008E7B99"/>
    <w:rsid w:val="008F0058"/>
    <w:rsid w:val="008F0814"/>
    <w:rsid w:val="008F103C"/>
    <w:rsid w:val="008F1678"/>
    <w:rsid w:val="008F2CB3"/>
    <w:rsid w:val="008F349D"/>
    <w:rsid w:val="008F3AB0"/>
    <w:rsid w:val="008F56AD"/>
    <w:rsid w:val="008F5853"/>
    <w:rsid w:val="008F601D"/>
    <w:rsid w:val="009019F0"/>
    <w:rsid w:val="009041E5"/>
    <w:rsid w:val="009042D3"/>
    <w:rsid w:val="0090522F"/>
    <w:rsid w:val="00905891"/>
    <w:rsid w:val="00905E3A"/>
    <w:rsid w:val="009079BE"/>
    <w:rsid w:val="0091144B"/>
    <w:rsid w:val="00911713"/>
    <w:rsid w:val="00911E05"/>
    <w:rsid w:val="00911EFA"/>
    <w:rsid w:val="009136CC"/>
    <w:rsid w:val="0091405A"/>
    <w:rsid w:val="009169C4"/>
    <w:rsid w:val="00916E49"/>
    <w:rsid w:val="00917951"/>
    <w:rsid w:val="009211DB"/>
    <w:rsid w:val="00922823"/>
    <w:rsid w:val="00922A0F"/>
    <w:rsid w:val="00923A3D"/>
    <w:rsid w:val="0092501F"/>
    <w:rsid w:val="00931DE7"/>
    <w:rsid w:val="009321CC"/>
    <w:rsid w:val="00933B75"/>
    <w:rsid w:val="00933BA9"/>
    <w:rsid w:val="009372B2"/>
    <w:rsid w:val="00941B4A"/>
    <w:rsid w:val="00946A11"/>
    <w:rsid w:val="00950264"/>
    <w:rsid w:val="00952748"/>
    <w:rsid w:val="00954805"/>
    <w:rsid w:val="00955D21"/>
    <w:rsid w:val="009561E2"/>
    <w:rsid w:val="00956B29"/>
    <w:rsid w:val="00961176"/>
    <w:rsid w:val="00963A26"/>
    <w:rsid w:val="00964A72"/>
    <w:rsid w:val="00964CF6"/>
    <w:rsid w:val="00967998"/>
    <w:rsid w:val="009709D5"/>
    <w:rsid w:val="00972168"/>
    <w:rsid w:val="009732CE"/>
    <w:rsid w:val="00977119"/>
    <w:rsid w:val="00980153"/>
    <w:rsid w:val="00983F09"/>
    <w:rsid w:val="00986051"/>
    <w:rsid w:val="00986E92"/>
    <w:rsid w:val="0098725F"/>
    <w:rsid w:val="00994358"/>
    <w:rsid w:val="00997579"/>
    <w:rsid w:val="009A3926"/>
    <w:rsid w:val="009A3F94"/>
    <w:rsid w:val="009A42CA"/>
    <w:rsid w:val="009A55AA"/>
    <w:rsid w:val="009A586D"/>
    <w:rsid w:val="009A5D5B"/>
    <w:rsid w:val="009A6956"/>
    <w:rsid w:val="009B151D"/>
    <w:rsid w:val="009B15B5"/>
    <w:rsid w:val="009B306A"/>
    <w:rsid w:val="009B314B"/>
    <w:rsid w:val="009B33BE"/>
    <w:rsid w:val="009B584E"/>
    <w:rsid w:val="009B621F"/>
    <w:rsid w:val="009B6DFF"/>
    <w:rsid w:val="009B79E2"/>
    <w:rsid w:val="009C173F"/>
    <w:rsid w:val="009C255E"/>
    <w:rsid w:val="009C2B01"/>
    <w:rsid w:val="009C364A"/>
    <w:rsid w:val="009C5749"/>
    <w:rsid w:val="009C5BED"/>
    <w:rsid w:val="009C787F"/>
    <w:rsid w:val="009D0478"/>
    <w:rsid w:val="009D11AD"/>
    <w:rsid w:val="009D1C4F"/>
    <w:rsid w:val="009D2D1D"/>
    <w:rsid w:val="009E0C8A"/>
    <w:rsid w:val="009E0E57"/>
    <w:rsid w:val="009E273D"/>
    <w:rsid w:val="009E2F2C"/>
    <w:rsid w:val="009E636D"/>
    <w:rsid w:val="009E67F4"/>
    <w:rsid w:val="009E781C"/>
    <w:rsid w:val="009F1675"/>
    <w:rsid w:val="009F1CB1"/>
    <w:rsid w:val="009F42C7"/>
    <w:rsid w:val="009F58CE"/>
    <w:rsid w:val="009F6A2F"/>
    <w:rsid w:val="009F7D20"/>
    <w:rsid w:val="00A033FC"/>
    <w:rsid w:val="00A03425"/>
    <w:rsid w:val="00A04E90"/>
    <w:rsid w:val="00A050DE"/>
    <w:rsid w:val="00A1036A"/>
    <w:rsid w:val="00A104AC"/>
    <w:rsid w:val="00A106AF"/>
    <w:rsid w:val="00A159B3"/>
    <w:rsid w:val="00A179F2"/>
    <w:rsid w:val="00A20030"/>
    <w:rsid w:val="00A217FD"/>
    <w:rsid w:val="00A22DD2"/>
    <w:rsid w:val="00A24076"/>
    <w:rsid w:val="00A25989"/>
    <w:rsid w:val="00A26249"/>
    <w:rsid w:val="00A27B3E"/>
    <w:rsid w:val="00A316AA"/>
    <w:rsid w:val="00A32B26"/>
    <w:rsid w:val="00A352F0"/>
    <w:rsid w:val="00A36981"/>
    <w:rsid w:val="00A41183"/>
    <w:rsid w:val="00A41EE3"/>
    <w:rsid w:val="00A4217D"/>
    <w:rsid w:val="00A42CBC"/>
    <w:rsid w:val="00A469F5"/>
    <w:rsid w:val="00A46D7C"/>
    <w:rsid w:val="00A46F69"/>
    <w:rsid w:val="00A474DD"/>
    <w:rsid w:val="00A53EF7"/>
    <w:rsid w:val="00A642EE"/>
    <w:rsid w:val="00A662CF"/>
    <w:rsid w:val="00A66964"/>
    <w:rsid w:val="00A669AF"/>
    <w:rsid w:val="00A66E56"/>
    <w:rsid w:val="00A67006"/>
    <w:rsid w:val="00A67E54"/>
    <w:rsid w:val="00A70107"/>
    <w:rsid w:val="00A712D9"/>
    <w:rsid w:val="00A71667"/>
    <w:rsid w:val="00A7222B"/>
    <w:rsid w:val="00A73C5A"/>
    <w:rsid w:val="00A7600F"/>
    <w:rsid w:val="00A805B9"/>
    <w:rsid w:val="00A80971"/>
    <w:rsid w:val="00A82A15"/>
    <w:rsid w:val="00A82C88"/>
    <w:rsid w:val="00A84507"/>
    <w:rsid w:val="00A87F7B"/>
    <w:rsid w:val="00A91556"/>
    <w:rsid w:val="00A91E52"/>
    <w:rsid w:val="00A91F00"/>
    <w:rsid w:val="00A9337D"/>
    <w:rsid w:val="00A93DEE"/>
    <w:rsid w:val="00A944A5"/>
    <w:rsid w:val="00A95662"/>
    <w:rsid w:val="00A95A78"/>
    <w:rsid w:val="00AA0BBD"/>
    <w:rsid w:val="00AA0FFB"/>
    <w:rsid w:val="00AA1377"/>
    <w:rsid w:val="00AA1820"/>
    <w:rsid w:val="00AA2DE2"/>
    <w:rsid w:val="00AA5338"/>
    <w:rsid w:val="00AA69F0"/>
    <w:rsid w:val="00AA6E35"/>
    <w:rsid w:val="00AB08EE"/>
    <w:rsid w:val="00AB0CDF"/>
    <w:rsid w:val="00AB14C1"/>
    <w:rsid w:val="00AB26E1"/>
    <w:rsid w:val="00AB52E2"/>
    <w:rsid w:val="00AB5785"/>
    <w:rsid w:val="00AB5CFD"/>
    <w:rsid w:val="00AB7986"/>
    <w:rsid w:val="00AC0A5A"/>
    <w:rsid w:val="00AC0AD5"/>
    <w:rsid w:val="00AC5C89"/>
    <w:rsid w:val="00AC658A"/>
    <w:rsid w:val="00AC77E7"/>
    <w:rsid w:val="00AD1997"/>
    <w:rsid w:val="00AD2DED"/>
    <w:rsid w:val="00AD3254"/>
    <w:rsid w:val="00AD4C57"/>
    <w:rsid w:val="00AD4E02"/>
    <w:rsid w:val="00AD67D7"/>
    <w:rsid w:val="00AD6B24"/>
    <w:rsid w:val="00AE0CC6"/>
    <w:rsid w:val="00AE16F6"/>
    <w:rsid w:val="00AE244B"/>
    <w:rsid w:val="00AE334D"/>
    <w:rsid w:val="00AE3818"/>
    <w:rsid w:val="00AE6155"/>
    <w:rsid w:val="00AE79CA"/>
    <w:rsid w:val="00AF13FC"/>
    <w:rsid w:val="00AF432C"/>
    <w:rsid w:val="00AF4483"/>
    <w:rsid w:val="00AF61DB"/>
    <w:rsid w:val="00AF73F5"/>
    <w:rsid w:val="00AF7CC2"/>
    <w:rsid w:val="00B04741"/>
    <w:rsid w:val="00B056EE"/>
    <w:rsid w:val="00B060B9"/>
    <w:rsid w:val="00B0669A"/>
    <w:rsid w:val="00B07AF0"/>
    <w:rsid w:val="00B105FA"/>
    <w:rsid w:val="00B120BC"/>
    <w:rsid w:val="00B13165"/>
    <w:rsid w:val="00B1512A"/>
    <w:rsid w:val="00B17BEC"/>
    <w:rsid w:val="00B17FA1"/>
    <w:rsid w:val="00B20423"/>
    <w:rsid w:val="00B20CD2"/>
    <w:rsid w:val="00B22D4A"/>
    <w:rsid w:val="00B23071"/>
    <w:rsid w:val="00B23EB7"/>
    <w:rsid w:val="00B26BF4"/>
    <w:rsid w:val="00B26EA2"/>
    <w:rsid w:val="00B36845"/>
    <w:rsid w:val="00B37DFB"/>
    <w:rsid w:val="00B40086"/>
    <w:rsid w:val="00B438B2"/>
    <w:rsid w:val="00B45762"/>
    <w:rsid w:val="00B503F5"/>
    <w:rsid w:val="00B50763"/>
    <w:rsid w:val="00B51E09"/>
    <w:rsid w:val="00B526EB"/>
    <w:rsid w:val="00B52D59"/>
    <w:rsid w:val="00B52FE7"/>
    <w:rsid w:val="00B53C6D"/>
    <w:rsid w:val="00B5646E"/>
    <w:rsid w:val="00B571AD"/>
    <w:rsid w:val="00B626B2"/>
    <w:rsid w:val="00B6495C"/>
    <w:rsid w:val="00B657B2"/>
    <w:rsid w:val="00B706ED"/>
    <w:rsid w:val="00B70D7B"/>
    <w:rsid w:val="00B71791"/>
    <w:rsid w:val="00B72388"/>
    <w:rsid w:val="00B73BC4"/>
    <w:rsid w:val="00B74581"/>
    <w:rsid w:val="00B8169D"/>
    <w:rsid w:val="00B81FEE"/>
    <w:rsid w:val="00B843A6"/>
    <w:rsid w:val="00B8670B"/>
    <w:rsid w:val="00B875E8"/>
    <w:rsid w:val="00B93507"/>
    <w:rsid w:val="00B959B3"/>
    <w:rsid w:val="00BA0479"/>
    <w:rsid w:val="00BA53C1"/>
    <w:rsid w:val="00BA6475"/>
    <w:rsid w:val="00BB366C"/>
    <w:rsid w:val="00BB5FC3"/>
    <w:rsid w:val="00BB61BA"/>
    <w:rsid w:val="00BB64B1"/>
    <w:rsid w:val="00BB7262"/>
    <w:rsid w:val="00BB761F"/>
    <w:rsid w:val="00BC1AD1"/>
    <w:rsid w:val="00BC727A"/>
    <w:rsid w:val="00BD025D"/>
    <w:rsid w:val="00BD22C6"/>
    <w:rsid w:val="00BD74E3"/>
    <w:rsid w:val="00BD76CD"/>
    <w:rsid w:val="00BE015E"/>
    <w:rsid w:val="00BE2E99"/>
    <w:rsid w:val="00BF02A2"/>
    <w:rsid w:val="00BF1113"/>
    <w:rsid w:val="00BF2CE8"/>
    <w:rsid w:val="00BF32B1"/>
    <w:rsid w:val="00BF5624"/>
    <w:rsid w:val="00BF64E5"/>
    <w:rsid w:val="00BF6DEF"/>
    <w:rsid w:val="00BF7A10"/>
    <w:rsid w:val="00C019FA"/>
    <w:rsid w:val="00C02B96"/>
    <w:rsid w:val="00C04914"/>
    <w:rsid w:val="00C04C61"/>
    <w:rsid w:val="00C04D76"/>
    <w:rsid w:val="00C04DC1"/>
    <w:rsid w:val="00C060EC"/>
    <w:rsid w:val="00C06FDC"/>
    <w:rsid w:val="00C07A2A"/>
    <w:rsid w:val="00C07AEF"/>
    <w:rsid w:val="00C110AC"/>
    <w:rsid w:val="00C12658"/>
    <w:rsid w:val="00C13DB4"/>
    <w:rsid w:val="00C141C8"/>
    <w:rsid w:val="00C14940"/>
    <w:rsid w:val="00C161B7"/>
    <w:rsid w:val="00C22764"/>
    <w:rsid w:val="00C231D3"/>
    <w:rsid w:val="00C258F9"/>
    <w:rsid w:val="00C2749D"/>
    <w:rsid w:val="00C27542"/>
    <w:rsid w:val="00C276C2"/>
    <w:rsid w:val="00C32EDB"/>
    <w:rsid w:val="00C36E32"/>
    <w:rsid w:val="00C40398"/>
    <w:rsid w:val="00C40749"/>
    <w:rsid w:val="00C42379"/>
    <w:rsid w:val="00C4578F"/>
    <w:rsid w:val="00C479DD"/>
    <w:rsid w:val="00C52B4F"/>
    <w:rsid w:val="00C54D93"/>
    <w:rsid w:val="00C5552C"/>
    <w:rsid w:val="00C55FBE"/>
    <w:rsid w:val="00C611FB"/>
    <w:rsid w:val="00C6162C"/>
    <w:rsid w:val="00C6175C"/>
    <w:rsid w:val="00C61EBF"/>
    <w:rsid w:val="00C647B5"/>
    <w:rsid w:val="00C66A4A"/>
    <w:rsid w:val="00C708FC"/>
    <w:rsid w:val="00C70AD7"/>
    <w:rsid w:val="00C70DE0"/>
    <w:rsid w:val="00C720EB"/>
    <w:rsid w:val="00C72162"/>
    <w:rsid w:val="00C769BA"/>
    <w:rsid w:val="00C8194C"/>
    <w:rsid w:val="00C81DAD"/>
    <w:rsid w:val="00C82195"/>
    <w:rsid w:val="00C84780"/>
    <w:rsid w:val="00C84FE2"/>
    <w:rsid w:val="00C8551D"/>
    <w:rsid w:val="00C86492"/>
    <w:rsid w:val="00C90C2B"/>
    <w:rsid w:val="00C9123A"/>
    <w:rsid w:val="00C9614C"/>
    <w:rsid w:val="00C9643A"/>
    <w:rsid w:val="00CA1093"/>
    <w:rsid w:val="00CA29A6"/>
    <w:rsid w:val="00CA41ED"/>
    <w:rsid w:val="00CA421E"/>
    <w:rsid w:val="00CA49EC"/>
    <w:rsid w:val="00CA66F7"/>
    <w:rsid w:val="00CA7C55"/>
    <w:rsid w:val="00CB3368"/>
    <w:rsid w:val="00CB4E08"/>
    <w:rsid w:val="00CB7BA2"/>
    <w:rsid w:val="00CC0409"/>
    <w:rsid w:val="00CC064B"/>
    <w:rsid w:val="00CC1A38"/>
    <w:rsid w:val="00CC383C"/>
    <w:rsid w:val="00CC74A5"/>
    <w:rsid w:val="00CD12E3"/>
    <w:rsid w:val="00CD3E0B"/>
    <w:rsid w:val="00CE480C"/>
    <w:rsid w:val="00CE488E"/>
    <w:rsid w:val="00CE6DE0"/>
    <w:rsid w:val="00CE7F2B"/>
    <w:rsid w:val="00D015E5"/>
    <w:rsid w:val="00D01D3C"/>
    <w:rsid w:val="00D04569"/>
    <w:rsid w:val="00D046B5"/>
    <w:rsid w:val="00D04A3B"/>
    <w:rsid w:val="00D102B5"/>
    <w:rsid w:val="00D10A92"/>
    <w:rsid w:val="00D114EF"/>
    <w:rsid w:val="00D120D2"/>
    <w:rsid w:val="00D130B8"/>
    <w:rsid w:val="00D20890"/>
    <w:rsid w:val="00D21009"/>
    <w:rsid w:val="00D22776"/>
    <w:rsid w:val="00D23777"/>
    <w:rsid w:val="00D247DC"/>
    <w:rsid w:val="00D263F1"/>
    <w:rsid w:val="00D27C4D"/>
    <w:rsid w:val="00D306BB"/>
    <w:rsid w:val="00D313A3"/>
    <w:rsid w:val="00D3230D"/>
    <w:rsid w:val="00D37CB4"/>
    <w:rsid w:val="00D4031A"/>
    <w:rsid w:val="00D416E3"/>
    <w:rsid w:val="00D421D8"/>
    <w:rsid w:val="00D505C9"/>
    <w:rsid w:val="00D50A63"/>
    <w:rsid w:val="00D51465"/>
    <w:rsid w:val="00D51A23"/>
    <w:rsid w:val="00D51BB2"/>
    <w:rsid w:val="00D55F9A"/>
    <w:rsid w:val="00D563D7"/>
    <w:rsid w:val="00D60254"/>
    <w:rsid w:val="00D606E7"/>
    <w:rsid w:val="00D60A39"/>
    <w:rsid w:val="00D623A6"/>
    <w:rsid w:val="00D672A8"/>
    <w:rsid w:val="00D76424"/>
    <w:rsid w:val="00D77A8B"/>
    <w:rsid w:val="00D82AC0"/>
    <w:rsid w:val="00D83B1B"/>
    <w:rsid w:val="00D84F22"/>
    <w:rsid w:val="00D865AF"/>
    <w:rsid w:val="00D92199"/>
    <w:rsid w:val="00D92363"/>
    <w:rsid w:val="00D9284F"/>
    <w:rsid w:val="00D9310C"/>
    <w:rsid w:val="00D941E0"/>
    <w:rsid w:val="00D94316"/>
    <w:rsid w:val="00D94B3C"/>
    <w:rsid w:val="00D97A9D"/>
    <w:rsid w:val="00DA10FA"/>
    <w:rsid w:val="00DA2121"/>
    <w:rsid w:val="00DB43C1"/>
    <w:rsid w:val="00DB720D"/>
    <w:rsid w:val="00DB7916"/>
    <w:rsid w:val="00DC0D1D"/>
    <w:rsid w:val="00DC24CB"/>
    <w:rsid w:val="00DC2D15"/>
    <w:rsid w:val="00DC3132"/>
    <w:rsid w:val="00DC3467"/>
    <w:rsid w:val="00DC35E1"/>
    <w:rsid w:val="00DC4B61"/>
    <w:rsid w:val="00DC720A"/>
    <w:rsid w:val="00DC7CC8"/>
    <w:rsid w:val="00DD0541"/>
    <w:rsid w:val="00DD25E4"/>
    <w:rsid w:val="00DD3F4B"/>
    <w:rsid w:val="00DD7D46"/>
    <w:rsid w:val="00DE0D68"/>
    <w:rsid w:val="00DE1612"/>
    <w:rsid w:val="00DE1768"/>
    <w:rsid w:val="00DE3E8D"/>
    <w:rsid w:val="00DE7030"/>
    <w:rsid w:val="00DF02B2"/>
    <w:rsid w:val="00DF1506"/>
    <w:rsid w:val="00DF26C5"/>
    <w:rsid w:val="00DF51BD"/>
    <w:rsid w:val="00E00BE4"/>
    <w:rsid w:val="00E0148B"/>
    <w:rsid w:val="00E02F9B"/>
    <w:rsid w:val="00E03C95"/>
    <w:rsid w:val="00E05891"/>
    <w:rsid w:val="00E068D3"/>
    <w:rsid w:val="00E07185"/>
    <w:rsid w:val="00E106B9"/>
    <w:rsid w:val="00E11ABF"/>
    <w:rsid w:val="00E11B95"/>
    <w:rsid w:val="00E1301D"/>
    <w:rsid w:val="00E146BF"/>
    <w:rsid w:val="00E1696D"/>
    <w:rsid w:val="00E17464"/>
    <w:rsid w:val="00E17EE6"/>
    <w:rsid w:val="00E239FB"/>
    <w:rsid w:val="00E24D94"/>
    <w:rsid w:val="00E24F77"/>
    <w:rsid w:val="00E25EA8"/>
    <w:rsid w:val="00E25EB4"/>
    <w:rsid w:val="00E3035A"/>
    <w:rsid w:val="00E30EB3"/>
    <w:rsid w:val="00E3229A"/>
    <w:rsid w:val="00E340CF"/>
    <w:rsid w:val="00E350E3"/>
    <w:rsid w:val="00E35B60"/>
    <w:rsid w:val="00E36623"/>
    <w:rsid w:val="00E377B6"/>
    <w:rsid w:val="00E37A74"/>
    <w:rsid w:val="00E43672"/>
    <w:rsid w:val="00E438A0"/>
    <w:rsid w:val="00E44E6E"/>
    <w:rsid w:val="00E45D27"/>
    <w:rsid w:val="00E476B2"/>
    <w:rsid w:val="00E52DCF"/>
    <w:rsid w:val="00E53285"/>
    <w:rsid w:val="00E535A3"/>
    <w:rsid w:val="00E54932"/>
    <w:rsid w:val="00E55D8C"/>
    <w:rsid w:val="00E55EB5"/>
    <w:rsid w:val="00E56A0E"/>
    <w:rsid w:val="00E60D90"/>
    <w:rsid w:val="00E6151C"/>
    <w:rsid w:val="00E626EF"/>
    <w:rsid w:val="00E62C75"/>
    <w:rsid w:val="00E63417"/>
    <w:rsid w:val="00E67327"/>
    <w:rsid w:val="00E70958"/>
    <w:rsid w:val="00E70F3F"/>
    <w:rsid w:val="00E71A96"/>
    <w:rsid w:val="00E741D2"/>
    <w:rsid w:val="00E74484"/>
    <w:rsid w:val="00E7454D"/>
    <w:rsid w:val="00E75B53"/>
    <w:rsid w:val="00E819FF"/>
    <w:rsid w:val="00E81BAE"/>
    <w:rsid w:val="00E85AAF"/>
    <w:rsid w:val="00E8638A"/>
    <w:rsid w:val="00E8677D"/>
    <w:rsid w:val="00E876B8"/>
    <w:rsid w:val="00E90E43"/>
    <w:rsid w:val="00E926F5"/>
    <w:rsid w:val="00E93A0A"/>
    <w:rsid w:val="00E94A82"/>
    <w:rsid w:val="00E94AC3"/>
    <w:rsid w:val="00EA04A3"/>
    <w:rsid w:val="00EA16F9"/>
    <w:rsid w:val="00EA2FBA"/>
    <w:rsid w:val="00EA4948"/>
    <w:rsid w:val="00EA6D01"/>
    <w:rsid w:val="00EA73C1"/>
    <w:rsid w:val="00EB011E"/>
    <w:rsid w:val="00EB2F61"/>
    <w:rsid w:val="00EB475F"/>
    <w:rsid w:val="00EB4CD0"/>
    <w:rsid w:val="00EB528D"/>
    <w:rsid w:val="00EB5410"/>
    <w:rsid w:val="00EB54F6"/>
    <w:rsid w:val="00EC0F55"/>
    <w:rsid w:val="00EC1041"/>
    <w:rsid w:val="00EC1209"/>
    <w:rsid w:val="00EC2200"/>
    <w:rsid w:val="00EC2A35"/>
    <w:rsid w:val="00EC438C"/>
    <w:rsid w:val="00EC4A1C"/>
    <w:rsid w:val="00EC4EE2"/>
    <w:rsid w:val="00EC68D2"/>
    <w:rsid w:val="00EC78EF"/>
    <w:rsid w:val="00ED0007"/>
    <w:rsid w:val="00ED008E"/>
    <w:rsid w:val="00ED20D7"/>
    <w:rsid w:val="00ED3D0C"/>
    <w:rsid w:val="00ED476C"/>
    <w:rsid w:val="00ED607C"/>
    <w:rsid w:val="00ED6081"/>
    <w:rsid w:val="00ED67DD"/>
    <w:rsid w:val="00ED7653"/>
    <w:rsid w:val="00ED7865"/>
    <w:rsid w:val="00ED7CBF"/>
    <w:rsid w:val="00EE18CC"/>
    <w:rsid w:val="00EE32B6"/>
    <w:rsid w:val="00EE347E"/>
    <w:rsid w:val="00EE3657"/>
    <w:rsid w:val="00EF00C4"/>
    <w:rsid w:val="00EF0866"/>
    <w:rsid w:val="00EF115A"/>
    <w:rsid w:val="00EF234A"/>
    <w:rsid w:val="00EF3A72"/>
    <w:rsid w:val="00EF4021"/>
    <w:rsid w:val="00EF502D"/>
    <w:rsid w:val="00EF7114"/>
    <w:rsid w:val="00EF7A4E"/>
    <w:rsid w:val="00F0003B"/>
    <w:rsid w:val="00F00A3B"/>
    <w:rsid w:val="00F01C30"/>
    <w:rsid w:val="00F04945"/>
    <w:rsid w:val="00F05BCC"/>
    <w:rsid w:val="00F15104"/>
    <w:rsid w:val="00F1536E"/>
    <w:rsid w:val="00F15E63"/>
    <w:rsid w:val="00F17D02"/>
    <w:rsid w:val="00F2053C"/>
    <w:rsid w:val="00F21ACC"/>
    <w:rsid w:val="00F22863"/>
    <w:rsid w:val="00F2354D"/>
    <w:rsid w:val="00F25070"/>
    <w:rsid w:val="00F2594D"/>
    <w:rsid w:val="00F26B9A"/>
    <w:rsid w:val="00F26BA6"/>
    <w:rsid w:val="00F3151C"/>
    <w:rsid w:val="00F352A5"/>
    <w:rsid w:val="00F352AF"/>
    <w:rsid w:val="00F361C7"/>
    <w:rsid w:val="00F36D7D"/>
    <w:rsid w:val="00F372FF"/>
    <w:rsid w:val="00F37734"/>
    <w:rsid w:val="00F41751"/>
    <w:rsid w:val="00F42EDC"/>
    <w:rsid w:val="00F43CD1"/>
    <w:rsid w:val="00F462EF"/>
    <w:rsid w:val="00F46ACC"/>
    <w:rsid w:val="00F474AC"/>
    <w:rsid w:val="00F50376"/>
    <w:rsid w:val="00F50C9A"/>
    <w:rsid w:val="00F510E3"/>
    <w:rsid w:val="00F51869"/>
    <w:rsid w:val="00F52A5A"/>
    <w:rsid w:val="00F54B06"/>
    <w:rsid w:val="00F5597D"/>
    <w:rsid w:val="00F56206"/>
    <w:rsid w:val="00F5749B"/>
    <w:rsid w:val="00F6008E"/>
    <w:rsid w:val="00F61CB9"/>
    <w:rsid w:val="00F61D9C"/>
    <w:rsid w:val="00F621DD"/>
    <w:rsid w:val="00F62A67"/>
    <w:rsid w:val="00F66E22"/>
    <w:rsid w:val="00F67E6F"/>
    <w:rsid w:val="00F70689"/>
    <w:rsid w:val="00F70DF9"/>
    <w:rsid w:val="00F7176E"/>
    <w:rsid w:val="00F71981"/>
    <w:rsid w:val="00F74009"/>
    <w:rsid w:val="00F7467F"/>
    <w:rsid w:val="00F75299"/>
    <w:rsid w:val="00F75F9A"/>
    <w:rsid w:val="00F763E7"/>
    <w:rsid w:val="00F76DC7"/>
    <w:rsid w:val="00F83642"/>
    <w:rsid w:val="00F85601"/>
    <w:rsid w:val="00F8700C"/>
    <w:rsid w:val="00F87CB0"/>
    <w:rsid w:val="00F916FF"/>
    <w:rsid w:val="00F91EB7"/>
    <w:rsid w:val="00FA15F2"/>
    <w:rsid w:val="00FA3085"/>
    <w:rsid w:val="00FA48C3"/>
    <w:rsid w:val="00FB25FE"/>
    <w:rsid w:val="00FB2735"/>
    <w:rsid w:val="00FB30EB"/>
    <w:rsid w:val="00FB3AD2"/>
    <w:rsid w:val="00FB3D7E"/>
    <w:rsid w:val="00FB40D5"/>
    <w:rsid w:val="00FB53B9"/>
    <w:rsid w:val="00FC3BC3"/>
    <w:rsid w:val="00FC5DBD"/>
    <w:rsid w:val="00FC75C4"/>
    <w:rsid w:val="00FC7A69"/>
    <w:rsid w:val="00FD0CAB"/>
    <w:rsid w:val="00FD4B44"/>
    <w:rsid w:val="00FD575A"/>
    <w:rsid w:val="00FD5D5A"/>
    <w:rsid w:val="00FE3C6F"/>
    <w:rsid w:val="00FF005B"/>
    <w:rsid w:val="00FF011B"/>
    <w:rsid w:val="00FF4CDE"/>
    <w:rsid w:val="00FF67C9"/>
    <w:rsid w:val="00FF7457"/>
    <w:rsid w:val="00FF7668"/>
    <w:rsid w:val="1BC583C5"/>
    <w:rsid w:val="2773DBA1"/>
    <w:rsid w:val="2ED7FB8E"/>
    <w:rsid w:val="2FF207B1"/>
    <w:rsid w:val="2FF6BDF9"/>
    <w:rsid w:val="317C40F7"/>
    <w:rsid w:val="35BFA1A4"/>
    <w:rsid w:val="367BC688"/>
    <w:rsid w:val="36EF3B87"/>
    <w:rsid w:val="37AFE140"/>
    <w:rsid w:val="37CE5C00"/>
    <w:rsid w:val="39FF94AA"/>
    <w:rsid w:val="3B5FB833"/>
    <w:rsid w:val="3BE6517E"/>
    <w:rsid w:val="3BEDF86B"/>
    <w:rsid w:val="3BEFAEC9"/>
    <w:rsid w:val="3BFB8668"/>
    <w:rsid w:val="3BFD1509"/>
    <w:rsid w:val="3DFED830"/>
    <w:rsid w:val="3E195080"/>
    <w:rsid w:val="3EFB10E1"/>
    <w:rsid w:val="3EFF29AD"/>
    <w:rsid w:val="3F4E6872"/>
    <w:rsid w:val="3F7721D9"/>
    <w:rsid w:val="3F9B3A9D"/>
    <w:rsid w:val="3FBB0A41"/>
    <w:rsid w:val="3FBF01DC"/>
    <w:rsid w:val="3FFF4654"/>
    <w:rsid w:val="3FFF8194"/>
    <w:rsid w:val="46ADF7D7"/>
    <w:rsid w:val="4DD54C45"/>
    <w:rsid w:val="517B4D8F"/>
    <w:rsid w:val="593E204F"/>
    <w:rsid w:val="597EA491"/>
    <w:rsid w:val="5ABCFDD7"/>
    <w:rsid w:val="5B9B6F31"/>
    <w:rsid w:val="5BFB59B3"/>
    <w:rsid w:val="5BFF6F0A"/>
    <w:rsid w:val="5C5F9875"/>
    <w:rsid w:val="5D754B9D"/>
    <w:rsid w:val="5DBF8202"/>
    <w:rsid w:val="5E6AB200"/>
    <w:rsid w:val="5ED18C80"/>
    <w:rsid w:val="5F6DCDA6"/>
    <w:rsid w:val="5FEB1317"/>
    <w:rsid w:val="5FF7336C"/>
    <w:rsid w:val="5FFE9A9B"/>
    <w:rsid w:val="63EB8EAE"/>
    <w:rsid w:val="65B20372"/>
    <w:rsid w:val="67FBBE9C"/>
    <w:rsid w:val="6BFFD5EB"/>
    <w:rsid w:val="6DCF251E"/>
    <w:rsid w:val="6DEEF6E1"/>
    <w:rsid w:val="6F1F4CCE"/>
    <w:rsid w:val="6FBB152D"/>
    <w:rsid w:val="6FFEA175"/>
    <w:rsid w:val="736EFD95"/>
    <w:rsid w:val="736F24BE"/>
    <w:rsid w:val="77F7807B"/>
    <w:rsid w:val="77FEF08F"/>
    <w:rsid w:val="79772343"/>
    <w:rsid w:val="79F5B6AA"/>
    <w:rsid w:val="7A6A6D2A"/>
    <w:rsid w:val="7A7BEE27"/>
    <w:rsid w:val="7AFDB3EC"/>
    <w:rsid w:val="7B9229FB"/>
    <w:rsid w:val="7BBF1F1C"/>
    <w:rsid w:val="7BBF4A3D"/>
    <w:rsid w:val="7CB782AE"/>
    <w:rsid w:val="7D0F7516"/>
    <w:rsid w:val="7D3FEAA2"/>
    <w:rsid w:val="7DB55721"/>
    <w:rsid w:val="7DEFBECF"/>
    <w:rsid w:val="7DF71479"/>
    <w:rsid w:val="7DFAA175"/>
    <w:rsid w:val="7DFAE232"/>
    <w:rsid w:val="7E33FC55"/>
    <w:rsid w:val="7EFE79A8"/>
    <w:rsid w:val="7F3F144A"/>
    <w:rsid w:val="7F7F786D"/>
    <w:rsid w:val="7F8B86E9"/>
    <w:rsid w:val="7F9FA410"/>
    <w:rsid w:val="7FAEF86A"/>
    <w:rsid w:val="7FBD91D6"/>
    <w:rsid w:val="7FCB6A83"/>
    <w:rsid w:val="7FDD32DF"/>
    <w:rsid w:val="7FEF54F4"/>
    <w:rsid w:val="7FFB9C63"/>
    <w:rsid w:val="7FFF5571"/>
    <w:rsid w:val="8EAF1972"/>
    <w:rsid w:val="8F2F25B1"/>
    <w:rsid w:val="8F7E98D4"/>
    <w:rsid w:val="95F7C6F3"/>
    <w:rsid w:val="99BB988A"/>
    <w:rsid w:val="9B7792A5"/>
    <w:rsid w:val="9BB3FABD"/>
    <w:rsid w:val="9D7FA84E"/>
    <w:rsid w:val="9EFBF046"/>
    <w:rsid w:val="9F7B415A"/>
    <w:rsid w:val="ADD7F366"/>
    <w:rsid w:val="AF7F74DA"/>
    <w:rsid w:val="AFBDBCBF"/>
    <w:rsid w:val="B6AFDE22"/>
    <w:rsid w:val="B6FF3E1F"/>
    <w:rsid w:val="B759D577"/>
    <w:rsid w:val="B7EF8937"/>
    <w:rsid w:val="B7FF9AFE"/>
    <w:rsid w:val="B937BA99"/>
    <w:rsid w:val="B9ABE5C0"/>
    <w:rsid w:val="BB7ECBEB"/>
    <w:rsid w:val="BBAFFF34"/>
    <w:rsid w:val="BBCF46B3"/>
    <w:rsid w:val="BBDEFBFD"/>
    <w:rsid w:val="BDF647C4"/>
    <w:rsid w:val="BEBBC214"/>
    <w:rsid w:val="BF3F605D"/>
    <w:rsid w:val="BFBF3034"/>
    <w:rsid w:val="BFE78043"/>
    <w:rsid w:val="BFF615AB"/>
    <w:rsid w:val="CD1D2BF0"/>
    <w:rsid w:val="CFF74D67"/>
    <w:rsid w:val="CFFF6C69"/>
    <w:rsid w:val="D1FA7DFA"/>
    <w:rsid w:val="D2FED062"/>
    <w:rsid w:val="D5BF355D"/>
    <w:rsid w:val="D7FE9FF2"/>
    <w:rsid w:val="DB777AC7"/>
    <w:rsid w:val="DBF7D4B9"/>
    <w:rsid w:val="DC371223"/>
    <w:rsid w:val="DD7E55D0"/>
    <w:rsid w:val="DDFBE54E"/>
    <w:rsid w:val="DDFFA06D"/>
    <w:rsid w:val="DEDCFF21"/>
    <w:rsid w:val="DEEB5974"/>
    <w:rsid w:val="DFD73102"/>
    <w:rsid w:val="DFDDCB82"/>
    <w:rsid w:val="DFE3E5B9"/>
    <w:rsid w:val="DFFF2AEE"/>
    <w:rsid w:val="E377AD80"/>
    <w:rsid w:val="E675C662"/>
    <w:rsid w:val="E7FFE205"/>
    <w:rsid w:val="E97D97E2"/>
    <w:rsid w:val="EBE9B3CD"/>
    <w:rsid w:val="EBFF1D00"/>
    <w:rsid w:val="ED7F0EBC"/>
    <w:rsid w:val="EEFB9F22"/>
    <w:rsid w:val="EF7B6EE2"/>
    <w:rsid w:val="EFFFA2AC"/>
    <w:rsid w:val="F17F4538"/>
    <w:rsid w:val="F67797D6"/>
    <w:rsid w:val="F6F3913A"/>
    <w:rsid w:val="F6F43A23"/>
    <w:rsid w:val="F6FD9059"/>
    <w:rsid w:val="F7DA3E6B"/>
    <w:rsid w:val="F7DDEEE4"/>
    <w:rsid w:val="F7F91458"/>
    <w:rsid w:val="F7FDC5D3"/>
    <w:rsid w:val="F7FEF365"/>
    <w:rsid w:val="F7FF4880"/>
    <w:rsid w:val="F8FD201A"/>
    <w:rsid w:val="F9AFE3D4"/>
    <w:rsid w:val="F9DFCE54"/>
    <w:rsid w:val="F9EDEF17"/>
    <w:rsid w:val="FAB51C19"/>
    <w:rsid w:val="FAF3EDF2"/>
    <w:rsid w:val="FB964E29"/>
    <w:rsid w:val="FBDD35C6"/>
    <w:rsid w:val="FC5F7009"/>
    <w:rsid w:val="FC771D80"/>
    <w:rsid w:val="FCCDF7AA"/>
    <w:rsid w:val="FDBD07F6"/>
    <w:rsid w:val="FDFFC5EA"/>
    <w:rsid w:val="FE575188"/>
    <w:rsid w:val="FE77E4A0"/>
    <w:rsid w:val="FED964C9"/>
    <w:rsid w:val="FEDDBB1B"/>
    <w:rsid w:val="FEFAA784"/>
    <w:rsid w:val="FF3BBBED"/>
    <w:rsid w:val="FF61D76C"/>
    <w:rsid w:val="FFCF8B95"/>
    <w:rsid w:val="FFF15221"/>
    <w:rsid w:val="FFF73460"/>
    <w:rsid w:val="FFFE9475"/>
    <w:rsid w:val="FFFFC7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39" w:semiHidden="0" w:name="toc 1"/>
    <w:lsdException w:unhideWhenUsed="0" w:uiPriority="39" w:semiHidden="0" w:name="toc 2"/>
    <w:lsdException w:unhideWhenUsed="0" w:uiPriority="39" w:semiHidden="0" w:name="toc 3"/>
    <w:lsdException w:unhideWhenUsed="0" w:uiPriority="39" w:semiHidden="0" w:name="toc 4"/>
    <w:lsdException w:unhideWhenUsed="0" w:uiPriority="39" w:semiHidden="0" w:name="toc 5"/>
    <w:lsdException w:unhideWhenUsed="0" w:uiPriority="39" w:semiHidden="0" w:name="toc 6"/>
    <w:lsdException w:uiPriority="0" w:name="toc 7"/>
    <w:lsdException w:unhideWhenUsed="0" w:uiPriority="39" w:semiHidden="0" w:name="toc 8"/>
    <w:lsdException w:uiPriority="0" w:name="toc 9"/>
    <w:lsdException w:uiPriority="99" w:name="Normal Indent"/>
    <w:lsdException w:uiPriority="99" w:name="footnote text"/>
    <w:lsdException w:qFormat="1" w:unhideWhenUsed="0" w:uiPriority="0" w:semiHidden="0" w:name="annotation text"/>
    <w:lsdException w:unhideWhenUsed="0" w:uiPriority="0" w:semiHidden="0" w:name="header"/>
    <w:lsdException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nhideWhenUsed="0" w:uiPriority="0"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semiHidden="0" w:name="Balloon Text"/>
    <w:lsdException w:qFormat="1" w:unhideWhenUsed="0" w:uiPriority="0"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pPr>
    <w:rPr>
      <w:rFonts w:ascii="Times New Roman" w:hAnsi="Times New Roman" w:eastAsia="Times New Roman" w:cs="Times New Roman"/>
      <w:sz w:val="24"/>
      <w:szCs w:val="24"/>
      <w:lang w:val="en-US" w:eastAsia="zh-CN" w:bidi="ar-SA"/>
    </w:rPr>
  </w:style>
  <w:style w:type="paragraph" w:styleId="2">
    <w:name w:val="heading 1"/>
    <w:next w:val="1"/>
    <w:link w:val="35"/>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Times New Roman" w:hAnsi="Times New Roman" w:eastAsia="Malgun Gothic" w:cs="Times New Roman"/>
      <w:sz w:val="36"/>
      <w:szCs w:val="36"/>
      <w:lang w:val="en-US" w:eastAsia="zh-CN" w:bidi="ar-SA"/>
    </w:rPr>
  </w:style>
  <w:style w:type="paragraph" w:styleId="3">
    <w:name w:val="heading 2"/>
    <w:basedOn w:val="2"/>
    <w:next w:val="1"/>
    <w:link w:val="36"/>
    <w:qFormat/>
    <w:uiPriority w:val="0"/>
    <w:pPr>
      <w:numPr>
        <w:ilvl w:val="1"/>
      </w:numPr>
      <w:pBdr>
        <w:top w:val="none" w:color="auto" w:sz="0" w:space="0"/>
      </w:pBdr>
      <w:spacing w:before="180"/>
      <w:outlineLvl w:val="1"/>
    </w:pPr>
    <w:rPr>
      <w:sz w:val="32"/>
      <w:szCs w:val="32"/>
    </w:rPr>
  </w:style>
  <w:style w:type="paragraph" w:styleId="4">
    <w:name w:val="heading 3"/>
    <w:basedOn w:val="3"/>
    <w:next w:val="1"/>
    <w:link w:val="37"/>
    <w:qFormat/>
    <w:uiPriority w:val="0"/>
    <w:pPr>
      <w:numPr>
        <w:ilvl w:val="2"/>
      </w:numPr>
      <w:spacing w:before="120"/>
      <w:outlineLvl w:val="2"/>
    </w:pPr>
    <w:rPr>
      <w:sz w:val="28"/>
      <w:szCs w:val="28"/>
    </w:rPr>
  </w:style>
  <w:style w:type="paragraph" w:styleId="5">
    <w:name w:val="heading 4"/>
    <w:basedOn w:val="4"/>
    <w:next w:val="1"/>
    <w:link w:val="38"/>
    <w:qFormat/>
    <w:uiPriority w:val="0"/>
    <w:pPr>
      <w:numPr>
        <w:ilvl w:val="3"/>
      </w:numPr>
      <w:outlineLvl w:val="3"/>
    </w:pPr>
    <w:rPr>
      <w:sz w:val="24"/>
      <w:szCs w:val="24"/>
    </w:rPr>
  </w:style>
  <w:style w:type="paragraph" w:styleId="6">
    <w:name w:val="heading 5"/>
    <w:basedOn w:val="5"/>
    <w:next w:val="1"/>
    <w:link w:val="39"/>
    <w:qFormat/>
    <w:uiPriority w:val="0"/>
    <w:pPr>
      <w:numPr>
        <w:ilvl w:val="4"/>
      </w:numPr>
      <w:outlineLvl w:val="4"/>
    </w:pPr>
    <w:rPr>
      <w:sz w:val="22"/>
      <w:szCs w:val="22"/>
    </w:rPr>
  </w:style>
  <w:style w:type="paragraph" w:styleId="7">
    <w:name w:val="heading 6"/>
    <w:basedOn w:val="1"/>
    <w:next w:val="1"/>
    <w:link w:val="40"/>
    <w:qFormat/>
    <w:uiPriority w:val="0"/>
    <w:pPr>
      <w:keepNext/>
      <w:keepLines/>
      <w:numPr>
        <w:ilvl w:val="5"/>
        <w:numId w:val="1"/>
      </w:numPr>
      <w:spacing w:before="120"/>
      <w:outlineLvl w:val="5"/>
    </w:pPr>
    <w:rPr>
      <w:rFonts w:cs="Arial"/>
    </w:rPr>
  </w:style>
  <w:style w:type="paragraph" w:styleId="8">
    <w:name w:val="heading 7"/>
    <w:basedOn w:val="1"/>
    <w:next w:val="1"/>
    <w:link w:val="41"/>
    <w:qFormat/>
    <w:uiPriority w:val="0"/>
    <w:pPr>
      <w:keepNext/>
      <w:keepLines/>
      <w:numPr>
        <w:ilvl w:val="6"/>
        <w:numId w:val="1"/>
      </w:numPr>
      <w:spacing w:before="120"/>
      <w:outlineLvl w:val="6"/>
    </w:pPr>
    <w:rPr>
      <w:rFonts w:cs="Arial"/>
    </w:rPr>
  </w:style>
  <w:style w:type="paragraph" w:styleId="9">
    <w:name w:val="heading 8"/>
    <w:basedOn w:val="8"/>
    <w:next w:val="1"/>
    <w:link w:val="42"/>
    <w:qFormat/>
    <w:uiPriority w:val="0"/>
    <w:pPr>
      <w:numPr>
        <w:ilvl w:val="7"/>
      </w:numPr>
      <w:outlineLvl w:val="7"/>
    </w:pPr>
  </w:style>
  <w:style w:type="paragraph" w:styleId="10">
    <w:name w:val="heading 9"/>
    <w:basedOn w:val="9"/>
    <w:next w:val="1"/>
    <w:link w:val="43"/>
    <w:qFormat/>
    <w:uiPriority w:val="0"/>
    <w:pPr>
      <w:numPr>
        <w:ilvl w:val="8"/>
      </w:numPr>
      <w:outlineLvl w:val="8"/>
    </w:pPr>
  </w:style>
  <w:style w:type="character" w:default="1" w:styleId="11">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13">
    <w:name w:val="Balloon Text"/>
    <w:basedOn w:val="1"/>
    <w:link w:val="56"/>
    <w:unhideWhenUsed/>
    <w:uiPriority w:val="0"/>
    <w:rPr>
      <w:sz w:val="18"/>
      <w:szCs w:val="18"/>
    </w:rPr>
  </w:style>
  <w:style w:type="paragraph" w:styleId="14">
    <w:name w:val="Body Text"/>
    <w:basedOn w:val="1"/>
    <w:link w:val="74"/>
    <w:uiPriority w:val="0"/>
    <w:pPr>
      <w:ind w:left="1440" w:hanging="1440"/>
      <w:jc w:val="both"/>
    </w:pPr>
    <w:rPr>
      <w:rFonts w:ascii="Times" w:hAnsi="Times" w:eastAsia="Batang"/>
      <w:sz w:val="20"/>
      <w:lang w:val="en-GB" w:eastAsia="en-US"/>
    </w:rPr>
  </w:style>
  <w:style w:type="paragraph" w:styleId="15">
    <w:name w:val="caption"/>
    <w:basedOn w:val="1"/>
    <w:next w:val="1"/>
    <w:link w:val="52"/>
    <w:qFormat/>
    <w:uiPriority w:val="0"/>
    <w:pPr>
      <w:spacing w:after="240"/>
      <w:jc w:val="center"/>
    </w:pPr>
    <w:rPr>
      <w:b/>
      <w:bCs/>
    </w:rPr>
  </w:style>
  <w:style w:type="character" w:styleId="16">
    <w:name w:val="annotation reference"/>
    <w:qFormat/>
    <w:uiPriority w:val="0"/>
    <w:rPr>
      <w:sz w:val="21"/>
      <w:szCs w:val="21"/>
    </w:rPr>
  </w:style>
  <w:style w:type="paragraph" w:styleId="17">
    <w:name w:val="annotation text"/>
    <w:basedOn w:val="1"/>
    <w:link w:val="72"/>
    <w:qFormat/>
    <w:uiPriority w:val="0"/>
    <w:pPr>
      <w:spacing w:after="180"/>
    </w:pPr>
    <w:rPr>
      <w:rFonts w:eastAsia="宋体"/>
      <w:sz w:val="20"/>
      <w:szCs w:val="20"/>
      <w:lang w:val="en-GB" w:eastAsia="en-US"/>
    </w:rPr>
  </w:style>
  <w:style w:type="paragraph" w:styleId="18">
    <w:name w:val="annotation subject"/>
    <w:basedOn w:val="17"/>
    <w:next w:val="17"/>
    <w:link w:val="73"/>
    <w:uiPriority w:val="0"/>
    <w:rPr>
      <w:b/>
      <w:bCs/>
    </w:rPr>
  </w:style>
  <w:style w:type="paragraph" w:styleId="19">
    <w:name w:val="Document Map"/>
    <w:basedOn w:val="1"/>
    <w:link w:val="71"/>
    <w:uiPriority w:val="0"/>
    <w:pPr>
      <w:spacing w:after="180"/>
    </w:pPr>
    <w:rPr>
      <w:rFonts w:ascii="宋体" w:eastAsia="宋体"/>
      <w:sz w:val="18"/>
      <w:szCs w:val="18"/>
      <w:lang w:val="en-GB" w:eastAsia="en-US"/>
    </w:rPr>
  </w:style>
  <w:style w:type="character" w:styleId="20">
    <w:name w:val="Emphasis"/>
    <w:qFormat/>
    <w:uiPriority w:val="20"/>
    <w:rPr>
      <w:i/>
      <w:iCs/>
    </w:rPr>
  </w:style>
  <w:style w:type="paragraph" w:styleId="21">
    <w:name w:val="footer"/>
    <w:basedOn w:val="22"/>
    <w:link w:val="58"/>
    <w:uiPriority w:val="0"/>
    <w:pPr>
      <w:jc w:val="center"/>
    </w:pPr>
    <w:rPr>
      <w:i/>
    </w:rPr>
  </w:style>
  <w:style w:type="paragraph" w:styleId="22">
    <w:name w:val="header"/>
    <w:link w:val="57"/>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character" w:styleId="23">
    <w:name w:val="Hyperlink"/>
    <w:qFormat/>
    <w:uiPriority w:val="99"/>
    <w:rPr>
      <w:color w:val="0000FF"/>
      <w:u w:val="single"/>
    </w:rPr>
  </w:style>
  <w:style w:type="paragraph" w:styleId="24">
    <w:name w:val="List"/>
    <w:basedOn w:val="1"/>
    <w:unhideWhenUsed/>
    <w:uiPriority w:val="99"/>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25">
    <w:name w:val="Normal (Web)"/>
    <w:basedOn w:val="1"/>
    <w:semiHidden/>
    <w:unhideWhenUsed/>
    <w:uiPriority w:val="99"/>
  </w:style>
  <w:style w:type="character" w:styleId="26">
    <w:name w:val="Strong"/>
    <w:qFormat/>
    <w:uiPriority w:val="22"/>
    <w:rPr>
      <w:b/>
      <w:bCs/>
    </w:rPr>
  </w:style>
  <w:style w:type="table" w:styleId="27">
    <w:name w:val="Table Grid"/>
    <w:basedOn w:val="1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28">
    <w:name w:val="toc 1"/>
    <w:next w:val="1"/>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9">
    <w:name w:val="toc 2"/>
    <w:basedOn w:val="28"/>
    <w:next w:val="1"/>
    <w:uiPriority w:val="39"/>
    <w:pPr>
      <w:keepNext w:val="0"/>
      <w:spacing w:before="0"/>
      <w:ind w:left="851" w:hanging="851"/>
    </w:pPr>
    <w:rPr>
      <w:sz w:val="20"/>
    </w:rPr>
  </w:style>
  <w:style w:type="paragraph" w:styleId="30">
    <w:name w:val="toc 3"/>
    <w:basedOn w:val="29"/>
    <w:next w:val="1"/>
    <w:uiPriority w:val="39"/>
    <w:pPr>
      <w:ind w:left="1134" w:hanging="1134"/>
    </w:pPr>
  </w:style>
  <w:style w:type="paragraph" w:styleId="31">
    <w:name w:val="toc 4"/>
    <w:basedOn w:val="30"/>
    <w:next w:val="1"/>
    <w:uiPriority w:val="39"/>
    <w:pPr>
      <w:ind w:left="1418" w:hanging="1418"/>
    </w:pPr>
  </w:style>
  <w:style w:type="paragraph" w:styleId="32">
    <w:name w:val="toc 5"/>
    <w:basedOn w:val="31"/>
    <w:next w:val="1"/>
    <w:uiPriority w:val="39"/>
    <w:pPr>
      <w:ind w:left="1701" w:hanging="1701"/>
    </w:pPr>
  </w:style>
  <w:style w:type="paragraph" w:styleId="33">
    <w:name w:val="toc 6"/>
    <w:basedOn w:val="32"/>
    <w:next w:val="1"/>
    <w:uiPriority w:val="39"/>
    <w:pPr>
      <w:ind w:left="1985" w:hanging="1985"/>
    </w:pPr>
  </w:style>
  <w:style w:type="paragraph" w:styleId="34">
    <w:name w:val="toc 8"/>
    <w:basedOn w:val="28"/>
    <w:next w:val="1"/>
    <w:uiPriority w:val="39"/>
    <w:pPr>
      <w:spacing w:before="180"/>
      <w:ind w:left="2693" w:hanging="2693"/>
    </w:pPr>
    <w:rPr>
      <w:b/>
    </w:rPr>
  </w:style>
  <w:style w:type="character" w:customStyle="1" w:styleId="35">
    <w:name w:val="Heading 1 Char"/>
    <w:basedOn w:val="11"/>
    <w:link w:val="2"/>
    <w:uiPriority w:val="0"/>
    <w:rPr>
      <w:rFonts w:ascii="Times New Roman" w:hAnsi="Times New Roman" w:eastAsia="Malgun Gothic" w:cs="Times New Roman"/>
      <w:sz w:val="36"/>
      <w:szCs w:val="36"/>
    </w:rPr>
  </w:style>
  <w:style w:type="character" w:customStyle="1" w:styleId="36">
    <w:name w:val="Heading 2 Char"/>
    <w:basedOn w:val="11"/>
    <w:link w:val="3"/>
    <w:uiPriority w:val="0"/>
    <w:rPr>
      <w:rFonts w:ascii="Times New Roman" w:hAnsi="Times New Roman" w:eastAsia="Malgun Gothic" w:cs="Times New Roman"/>
      <w:sz w:val="32"/>
      <w:szCs w:val="32"/>
    </w:rPr>
  </w:style>
  <w:style w:type="character" w:customStyle="1" w:styleId="37">
    <w:name w:val="Heading 3 Char"/>
    <w:basedOn w:val="11"/>
    <w:link w:val="4"/>
    <w:uiPriority w:val="0"/>
    <w:rPr>
      <w:rFonts w:ascii="Times New Roman" w:hAnsi="Times New Roman" w:eastAsia="Malgun Gothic" w:cs="Times New Roman"/>
      <w:sz w:val="28"/>
      <w:szCs w:val="28"/>
    </w:rPr>
  </w:style>
  <w:style w:type="character" w:customStyle="1" w:styleId="38">
    <w:name w:val="Heading 4 Char"/>
    <w:basedOn w:val="11"/>
    <w:link w:val="5"/>
    <w:uiPriority w:val="0"/>
    <w:rPr>
      <w:rFonts w:ascii="Times New Roman" w:hAnsi="Times New Roman" w:eastAsia="Malgun Gothic" w:cs="Times New Roman"/>
    </w:rPr>
  </w:style>
  <w:style w:type="character" w:customStyle="1" w:styleId="39">
    <w:name w:val="Heading 5 Char"/>
    <w:basedOn w:val="11"/>
    <w:link w:val="6"/>
    <w:uiPriority w:val="0"/>
    <w:rPr>
      <w:rFonts w:ascii="Times New Roman" w:hAnsi="Times New Roman" w:eastAsia="Malgun Gothic" w:cs="Times New Roman"/>
      <w:sz w:val="22"/>
      <w:szCs w:val="22"/>
    </w:rPr>
  </w:style>
  <w:style w:type="character" w:customStyle="1" w:styleId="40">
    <w:name w:val="Heading 6 Char"/>
    <w:basedOn w:val="11"/>
    <w:link w:val="7"/>
    <w:uiPriority w:val="0"/>
    <w:rPr>
      <w:rFonts w:ascii="Times New Roman" w:hAnsi="Times New Roman" w:eastAsia="Times New Roman" w:cs="Arial"/>
    </w:rPr>
  </w:style>
  <w:style w:type="character" w:customStyle="1" w:styleId="41">
    <w:name w:val="Heading 7 Char"/>
    <w:basedOn w:val="11"/>
    <w:link w:val="8"/>
    <w:uiPriority w:val="0"/>
    <w:rPr>
      <w:rFonts w:ascii="Times New Roman" w:hAnsi="Times New Roman" w:eastAsia="Times New Roman" w:cs="Arial"/>
    </w:rPr>
  </w:style>
  <w:style w:type="character" w:customStyle="1" w:styleId="42">
    <w:name w:val="Heading 8 Char"/>
    <w:basedOn w:val="11"/>
    <w:link w:val="9"/>
    <w:uiPriority w:val="0"/>
    <w:rPr>
      <w:rFonts w:ascii="Times New Roman" w:hAnsi="Times New Roman" w:eastAsia="Times New Roman" w:cs="Arial"/>
    </w:rPr>
  </w:style>
  <w:style w:type="character" w:customStyle="1" w:styleId="43">
    <w:name w:val="Heading 9 Char"/>
    <w:basedOn w:val="11"/>
    <w:link w:val="10"/>
    <w:uiPriority w:val="0"/>
    <w:rPr>
      <w:rFonts w:ascii="Times New Roman" w:hAnsi="Times New Roman" w:eastAsia="Times New Roman" w:cs="Arial"/>
    </w:rPr>
  </w:style>
  <w:style w:type="paragraph" w:customStyle="1" w:styleId="44">
    <w:name w:val="3GPP_Header"/>
    <w:basedOn w:val="1"/>
    <w:uiPriority w:val="0"/>
    <w:pPr>
      <w:tabs>
        <w:tab w:val="left" w:pos="1701"/>
        <w:tab w:val="right" w:pos="9639"/>
      </w:tabs>
      <w:spacing w:after="240"/>
    </w:pPr>
    <w:rPr>
      <w:b/>
    </w:rPr>
  </w:style>
  <w:style w:type="paragraph" w:customStyle="1" w:styleId="45">
    <w:name w:val="0 Main text"/>
    <w:basedOn w:val="1"/>
    <w:link w:val="46"/>
    <w:qFormat/>
    <w:uiPriority w:val="0"/>
    <w:pPr>
      <w:spacing w:after="100" w:afterAutospacing="1" w:line="288" w:lineRule="auto"/>
      <w:ind w:firstLine="360"/>
      <w:jc w:val="both"/>
    </w:pPr>
    <w:rPr>
      <w:rFonts w:cs="Batang"/>
      <w:sz w:val="20"/>
      <w:szCs w:val="20"/>
      <w:lang w:val="en-GB" w:eastAsia="en-US"/>
    </w:rPr>
  </w:style>
  <w:style w:type="character" w:customStyle="1" w:styleId="46">
    <w:name w:val="0 Main text Char"/>
    <w:basedOn w:val="11"/>
    <w:link w:val="45"/>
    <w:uiPriority w:val="0"/>
    <w:rPr>
      <w:rFonts w:ascii="Times New Roman" w:hAnsi="Times New Roman" w:eastAsia="Malgun Gothic" w:cs="Batang"/>
      <w:sz w:val="20"/>
      <w:szCs w:val="20"/>
      <w:lang w:val="en-GB" w:eastAsia="en-US"/>
    </w:rPr>
  </w:style>
  <w:style w:type="paragraph" w:styleId="47">
    <w:name w:val="List Paragraph"/>
    <w:basedOn w:val="1"/>
    <w:link w:val="48"/>
    <w:qFormat/>
    <w:uiPriority w:val="34"/>
    <w:pPr>
      <w:ind w:left="840" w:leftChars="400" w:hanging="720"/>
    </w:pPr>
    <w:rPr>
      <w:rFonts w:ascii="Times" w:hAnsi="Times" w:eastAsia="Batang"/>
      <w:sz w:val="20"/>
      <w:lang w:val="en-GB"/>
    </w:rPr>
  </w:style>
  <w:style w:type="character" w:customStyle="1" w:styleId="48">
    <w:name w:val="List Paragraph Char"/>
    <w:link w:val="47"/>
    <w:qFormat/>
    <w:uiPriority w:val="34"/>
    <w:rPr>
      <w:rFonts w:ascii="Times" w:hAnsi="Times" w:eastAsia="Batang" w:cs="Times New Roman"/>
      <w:sz w:val="20"/>
      <w:lang w:val="en-GB" w:eastAsia="zh-CN"/>
    </w:rPr>
  </w:style>
  <w:style w:type="paragraph" w:customStyle="1" w:styleId="49">
    <w:name w:val="LGTdoc_본문"/>
    <w:basedOn w:val="1"/>
    <w:link w:val="50"/>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50">
    <w:name w:val="LGTdoc_본문 Char"/>
    <w:link w:val="49"/>
    <w:qFormat/>
    <w:uiPriority w:val="0"/>
    <w:rPr>
      <w:rFonts w:ascii="Times New Roman" w:hAnsi="Times New Roman" w:eastAsia="Batang" w:cs="Times New Roman"/>
      <w:kern w:val="2"/>
      <w:sz w:val="22"/>
      <w:lang w:val="en-GB" w:eastAsia="ko-KR"/>
    </w:rPr>
  </w:style>
  <w:style w:type="character" w:styleId="51">
    <w:name w:val="Placeholder Text"/>
    <w:basedOn w:val="11"/>
    <w:semiHidden/>
    <w:uiPriority w:val="99"/>
    <w:rPr>
      <w:color w:val="808080"/>
    </w:rPr>
  </w:style>
  <w:style w:type="character" w:customStyle="1" w:styleId="52">
    <w:name w:val="Caption Char"/>
    <w:link w:val="15"/>
    <w:locked/>
    <w:uiPriority w:val="0"/>
    <w:rPr>
      <w:rFonts w:ascii="Times New Roman" w:hAnsi="Times New Roman" w:eastAsia="Malgun Gothic" w:cs="Times New Roman"/>
      <w:b/>
      <w:bCs/>
    </w:rPr>
  </w:style>
  <w:style w:type="paragraph" w:customStyle="1" w:styleId="53">
    <w:name w:val="Proposal"/>
    <w:basedOn w:val="1"/>
    <w:uiPriority w:val="0"/>
    <w:pPr>
      <w:tabs>
        <w:tab w:val="left" w:pos="1701"/>
      </w:tabs>
      <w:spacing w:after="180"/>
      <w:ind w:left="1701" w:hanging="1701"/>
    </w:pPr>
    <w:rPr>
      <w:b/>
      <w:sz w:val="20"/>
      <w:szCs w:val="20"/>
      <w:lang w:val="en-GB" w:eastAsia="en-US"/>
    </w:rPr>
  </w:style>
  <w:style w:type="paragraph" w:customStyle="1" w:styleId="54">
    <w:name w:val="0maintext"/>
    <w:basedOn w:val="1"/>
    <w:uiPriority w:val="0"/>
    <w:pPr>
      <w:spacing w:before="100" w:beforeAutospacing="1" w:after="100" w:afterAutospacing="1"/>
    </w:pPr>
  </w:style>
  <w:style w:type="character" w:customStyle="1" w:styleId="55">
    <w:name w:val="apple-converted-space"/>
    <w:basedOn w:val="11"/>
    <w:uiPriority w:val="0"/>
  </w:style>
  <w:style w:type="character" w:customStyle="1" w:styleId="56">
    <w:name w:val="Balloon Text Char"/>
    <w:basedOn w:val="11"/>
    <w:link w:val="13"/>
    <w:uiPriority w:val="0"/>
    <w:rPr>
      <w:rFonts w:ascii="Times New Roman" w:hAnsi="Times New Roman" w:eastAsia="Times New Roman" w:cs="Times New Roman"/>
      <w:sz w:val="18"/>
      <w:szCs w:val="18"/>
    </w:rPr>
  </w:style>
  <w:style w:type="character" w:customStyle="1" w:styleId="57">
    <w:name w:val="Header Char"/>
    <w:basedOn w:val="11"/>
    <w:link w:val="22"/>
    <w:uiPriority w:val="0"/>
    <w:rPr>
      <w:rFonts w:ascii="Arial" w:hAnsi="Arial" w:eastAsia="宋体" w:cs="Times New Roman"/>
      <w:b/>
      <w:sz w:val="18"/>
      <w:szCs w:val="20"/>
      <w:lang w:val="en-GB" w:eastAsia="ja-JP"/>
    </w:rPr>
  </w:style>
  <w:style w:type="character" w:customStyle="1" w:styleId="58">
    <w:name w:val="Footer Char"/>
    <w:basedOn w:val="11"/>
    <w:link w:val="21"/>
    <w:uiPriority w:val="0"/>
    <w:rPr>
      <w:rFonts w:ascii="Arial" w:hAnsi="Arial" w:eastAsia="宋体" w:cs="Times New Roman"/>
      <w:b/>
      <w:i/>
      <w:sz w:val="18"/>
      <w:szCs w:val="20"/>
      <w:lang w:val="en-GB" w:eastAsia="ja-JP"/>
    </w:rPr>
  </w:style>
  <w:style w:type="paragraph" w:customStyle="1" w:styleId="59">
    <w:name w:val="TAL"/>
    <w:basedOn w:val="1"/>
    <w:link w:val="60"/>
    <w:uiPriority w:val="0"/>
    <w:pPr>
      <w:keepNext/>
      <w:keepLines/>
    </w:pPr>
    <w:rPr>
      <w:rFonts w:ascii="Arial" w:hAnsi="Arial" w:eastAsia="宋体"/>
      <w:sz w:val="18"/>
      <w:szCs w:val="20"/>
      <w:lang w:val="en-GB" w:eastAsia="en-US"/>
    </w:rPr>
  </w:style>
  <w:style w:type="character" w:customStyle="1" w:styleId="60">
    <w:name w:val="TAL Car"/>
    <w:link w:val="59"/>
    <w:uiPriority w:val="0"/>
    <w:rPr>
      <w:rFonts w:ascii="Arial" w:hAnsi="Arial" w:eastAsia="宋体" w:cs="Times New Roman"/>
      <w:sz w:val="18"/>
      <w:szCs w:val="20"/>
      <w:lang w:val="en-GB" w:eastAsia="en-US"/>
    </w:rPr>
  </w:style>
  <w:style w:type="paragraph" w:customStyle="1" w:styleId="61">
    <w:name w:val="TAH"/>
    <w:basedOn w:val="62"/>
    <w:link w:val="64"/>
    <w:qFormat/>
    <w:uiPriority w:val="0"/>
    <w:rPr>
      <w:b/>
    </w:rPr>
  </w:style>
  <w:style w:type="paragraph" w:customStyle="1" w:styleId="62">
    <w:name w:val="TAC"/>
    <w:basedOn w:val="59"/>
    <w:link w:val="63"/>
    <w:qFormat/>
    <w:uiPriority w:val="0"/>
    <w:pPr>
      <w:jc w:val="center"/>
    </w:pPr>
  </w:style>
  <w:style w:type="character" w:customStyle="1" w:styleId="63">
    <w:name w:val="TAC Char"/>
    <w:link w:val="62"/>
    <w:qFormat/>
    <w:uiPriority w:val="0"/>
    <w:rPr>
      <w:rFonts w:ascii="Arial" w:hAnsi="Arial" w:eastAsia="宋体" w:cs="Times New Roman"/>
      <w:sz w:val="18"/>
      <w:szCs w:val="20"/>
      <w:lang w:val="en-GB" w:eastAsia="en-US"/>
    </w:rPr>
  </w:style>
  <w:style w:type="character" w:customStyle="1" w:styleId="64">
    <w:name w:val="TAH Car"/>
    <w:link w:val="61"/>
    <w:qFormat/>
    <w:uiPriority w:val="0"/>
    <w:rPr>
      <w:rFonts w:ascii="Arial" w:hAnsi="Arial" w:eastAsia="宋体" w:cs="Times New Roman"/>
      <w:b/>
      <w:sz w:val="18"/>
      <w:szCs w:val="20"/>
      <w:lang w:val="en-GB" w:eastAsia="en-US"/>
    </w:rPr>
  </w:style>
  <w:style w:type="paragraph" w:customStyle="1" w:styleId="65">
    <w:name w:val="B1"/>
    <w:basedOn w:val="1"/>
    <w:link w:val="66"/>
    <w:qFormat/>
    <w:uiPriority w:val="0"/>
    <w:pPr>
      <w:spacing w:after="180"/>
      <w:ind w:left="568" w:hanging="284"/>
    </w:pPr>
    <w:rPr>
      <w:rFonts w:eastAsia="宋体"/>
      <w:sz w:val="20"/>
      <w:szCs w:val="20"/>
      <w:lang w:val="en-GB" w:eastAsia="en-US"/>
    </w:rPr>
  </w:style>
  <w:style w:type="character" w:customStyle="1" w:styleId="66">
    <w:name w:val="B1 Char1"/>
    <w:link w:val="65"/>
    <w:uiPriority w:val="0"/>
    <w:rPr>
      <w:rFonts w:ascii="Times New Roman" w:hAnsi="Times New Roman" w:eastAsia="宋体" w:cs="Times New Roman"/>
      <w:sz w:val="20"/>
      <w:szCs w:val="20"/>
      <w:lang w:val="en-GB" w:eastAsia="en-US"/>
    </w:rPr>
  </w:style>
  <w:style w:type="paragraph" w:customStyle="1" w:styleId="67">
    <w:name w:val="TH"/>
    <w:basedOn w:val="1"/>
    <w:link w:val="68"/>
    <w:qFormat/>
    <w:uiPriority w:val="0"/>
    <w:pPr>
      <w:keepNext/>
      <w:keepLines/>
      <w:spacing w:before="60" w:after="180"/>
      <w:jc w:val="center"/>
    </w:pPr>
    <w:rPr>
      <w:rFonts w:ascii="Arial" w:hAnsi="Arial" w:eastAsia="宋体"/>
      <w:b/>
      <w:sz w:val="20"/>
      <w:szCs w:val="20"/>
      <w:lang w:val="en-GB" w:eastAsia="en-US"/>
    </w:rPr>
  </w:style>
  <w:style w:type="character" w:customStyle="1" w:styleId="68">
    <w:name w:val="TH Char"/>
    <w:link w:val="67"/>
    <w:qFormat/>
    <w:uiPriority w:val="0"/>
    <w:rPr>
      <w:rFonts w:ascii="Arial" w:hAnsi="Arial" w:eastAsia="宋体" w:cs="Times New Roman"/>
      <w:b/>
      <w:sz w:val="20"/>
      <w:szCs w:val="20"/>
      <w:lang w:val="en-GB" w:eastAsia="en-US"/>
    </w:rPr>
  </w:style>
  <w:style w:type="paragraph" w:customStyle="1" w:styleId="69">
    <w:name w:val="B2"/>
    <w:basedOn w:val="1"/>
    <w:link w:val="70"/>
    <w:uiPriority w:val="0"/>
    <w:pPr>
      <w:spacing w:after="180"/>
      <w:ind w:left="851" w:hanging="284"/>
    </w:pPr>
    <w:rPr>
      <w:rFonts w:eastAsia="宋体"/>
      <w:sz w:val="20"/>
      <w:szCs w:val="20"/>
      <w:lang w:val="en-GB" w:eastAsia="en-US"/>
    </w:rPr>
  </w:style>
  <w:style w:type="character" w:customStyle="1" w:styleId="70">
    <w:name w:val="B2 Char"/>
    <w:link w:val="69"/>
    <w:locked/>
    <w:uiPriority w:val="0"/>
    <w:rPr>
      <w:rFonts w:ascii="Times New Roman" w:hAnsi="Times New Roman" w:eastAsia="宋体" w:cs="Times New Roman"/>
      <w:sz w:val="20"/>
      <w:szCs w:val="20"/>
      <w:lang w:val="en-GB" w:eastAsia="en-US"/>
    </w:rPr>
  </w:style>
  <w:style w:type="character" w:customStyle="1" w:styleId="71">
    <w:name w:val="Document Map Char"/>
    <w:basedOn w:val="11"/>
    <w:link w:val="19"/>
    <w:uiPriority w:val="0"/>
    <w:rPr>
      <w:rFonts w:ascii="宋体" w:hAnsi="Times New Roman" w:eastAsia="宋体" w:cs="Times New Roman"/>
      <w:sz w:val="18"/>
      <w:szCs w:val="18"/>
      <w:lang w:val="en-GB" w:eastAsia="en-US"/>
    </w:rPr>
  </w:style>
  <w:style w:type="character" w:customStyle="1" w:styleId="72">
    <w:name w:val="Comment Text Char"/>
    <w:basedOn w:val="11"/>
    <w:link w:val="17"/>
    <w:qFormat/>
    <w:uiPriority w:val="0"/>
    <w:rPr>
      <w:rFonts w:ascii="Times New Roman" w:hAnsi="Times New Roman" w:eastAsia="宋体" w:cs="Times New Roman"/>
      <w:sz w:val="20"/>
      <w:szCs w:val="20"/>
      <w:lang w:val="en-GB" w:eastAsia="en-US"/>
    </w:rPr>
  </w:style>
  <w:style w:type="character" w:customStyle="1" w:styleId="73">
    <w:name w:val="Comment Subject Char"/>
    <w:basedOn w:val="72"/>
    <w:link w:val="18"/>
    <w:uiPriority w:val="0"/>
    <w:rPr>
      <w:rFonts w:ascii="Times New Roman" w:hAnsi="Times New Roman" w:eastAsia="宋体" w:cs="Times New Roman"/>
      <w:b/>
      <w:bCs/>
      <w:sz w:val="20"/>
      <w:szCs w:val="20"/>
      <w:lang w:val="en-GB" w:eastAsia="en-US"/>
    </w:rPr>
  </w:style>
  <w:style w:type="character" w:customStyle="1" w:styleId="74">
    <w:name w:val="Body Text Char"/>
    <w:basedOn w:val="11"/>
    <w:link w:val="14"/>
    <w:uiPriority w:val="0"/>
    <w:rPr>
      <w:rFonts w:ascii="Times" w:hAnsi="Times" w:eastAsia="Batang" w:cs="Times New Roman"/>
      <w:sz w:val="20"/>
      <w:lang w:val="en-GB" w:eastAsia="en-US"/>
    </w:rPr>
  </w:style>
  <w:style w:type="paragraph" w:customStyle="1" w:styleId="75">
    <w:name w:val="H6"/>
    <w:basedOn w:val="6"/>
    <w:next w:val="1"/>
    <w:uiPriority w:val="0"/>
    <w:pPr>
      <w:numPr>
        <w:ilvl w:val="0"/>
        <w:numId w:val="0"/>
      </w:numPr>
      <w:overflowPunct/>
      <w:autoSpaceDE/>
      <w:autoSpaceDN/>
      <w:adjustRightInd/>
      <w:ind w:left="1985" w:hanging="1985"/>
      <w:textAlignment w:val="auto"/>
      <w:outlineLvl w:val="9"/>
    </w:pPr>
    <w:rPr>
      <w:rFonts w:ascii="Arial" w:hAnsi="Arial" w:eastAsia="宋体"/>
      <w:sz w:val="20"/>
      <w:szCs w:val="20"/>
      <w:lang w:val="en-GB" w:eastAsia="en-US"/>
    </w:rPr>
  </w:style>
  <w:style w:type="paragraph" w:customStyle="1" w:styleId="76">
    <w:name w:val="EQ"/>
    <w:basedOn w:val="1"/>
    <w:next w:val="1"/>
    <w:uiPriority w:val="0"/>
    <w:pPr>
      <w:keepLines/>
      <w:tabs>
        <w:tab w:val="center" w:pos="4536"/>
        <w:tab w:val="right" w:pos="9072"/>
      </w:tabs>
      <w:spacing w:after="180"/>
    </w:pPr>
    <w:rPr>
      <w:rFonts w:eastAsia="宋体"/>
      <w:sz w:val="20"/>
      <w:szCs w:val="20"/>
      <w:lang w:val="en-GB" w:eastAsia="en-US"/>
    </w:rPr>
  </w:style>
  <w:style w:type="character" w:customStyle="1" w:styleId="77">
    <w:name w:val="ZGSM"/>
    <w:uiPriority w:val="0"/>
  </w:style>
  <w:style w:type="paragraph" w:customStyle="1" w:styleId="78">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9">
    <w:name w:val="TT"/>
    <w:basedOn w:val="2"/>
    <w:next w:val="1"/>
    <w:uiPriority w:val="0"/>
    <w:pPr>
      <w:numPr>
        <w:numId w:val="0"/>
      </w:numPr>
      <w:overflowPunct/>
      <w:autoSpaceDE/>
      <w:autoSpaceDN/>
      <w:adjustRightInd/>
      <w:ind w:left="1134" w:hanging="1134"/>
      <w:textAlignment w:val="auto"/>
      <w:outlineLvl w:val="9"/>
    </w:pPr>
    <w:rPr>
      <w:rFonts w:ascii="Arial" w:hAnsi="Arial" w:eastAsia="宋体"/>
      <w:szCs w:val="20"/>
      <w:lang w:val="en-GB" w:eastAsia="en-US"/>
    </w:rPr>
  </w:style>
  <w:style w:type="paragraph" w:customStyle="1" w:styleId="80">
    <w:name w:val="NF"/>
    <w:basedOn w:val="81"/>
    <w:uiPriority w:val="0"/>
    <w:pPr>
      <w:keepNext/>
      <w:spacing w:after="0"/>
    </w:pPr>
    <w:rPr>
      <w:rFonts w:ascii="Arial" w:hAnsi="Arial"/>
      <w:sz w:val="18"/>
    </w:rPr>
  </w:style>
  <w:style w:type="paragraph" w:customStyle="1" w:styleId="81">
    <w:name w:val="NO"/>
    <w:basedOn w:val="1"/>
    <w:uiPriority w:val="0"/>
    <w:pPr>
      <w:keepLines/>
      <w:spacing w:after="180"/>
      <w:ind w:left="1135" w:hanging="851"/>
    </w:pPr>
    <w:rPr>
      <w:rFonts w:eastAsia="宋体"/>
      <w:sz w:val="20"/>
      <w:szCs w:val="20"/>
      <w:lang w:val="en-GB" w:eastAsia="en-US"/>
    </w:rPr>
  </w:style>
  <w:style w:type="paragraph" w:customStyle="1" w:styleId="82">
    <w:name w:val="PL"/>
    <w:link w:val="10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3">
    <w:name w:val="TAR"/>
    <w:basedOn w:val="59"/>
    <w:uiPriority w:val="0"/>
    <w:pPr>
      <w:jc w:val="right"/>
    </w:pPr>
  </w:style>
  <w:style w:type="paragraph" w:customStyle="1" w:styleId="84">
    <w:name w:val="LD"/>
    <w:uiPriority w:val="0"/>
    <w:pPr>
      <w:keepNext/>
      <w:keepLines/>
      <w:spacing w:line="180" w:lineRule="exact"/>
    </w:pPr>
    <w:rPr>
      <w:rFonts w:ascii="Courier New" w:hAnsi="Courier New" w:eastAsia="宋体" w:cs="Times New Roman"/>
      <w:lang w:val="en-GB" w:eastAsia="en-US" w:bidi="ar-SA"/>
    </w:rPr>
  </w:style>
  <w:style w:type="paragraph" w:customStyle="1" w:styleId="85">
    <w:name w:val="EX"/>
    <w:basedOn w:val="1"/>
    <w:uiPriority w:val="0"/>
    <w:pPr>
      <w:keepLines/>
      <w:spacing w:after="180"/>
      <w:ind w:left="1702" w:hanging="1418"/>
    </w:pPr>
    <w:rPr>
      <w:rFonts w:eastAsia="宋体"/>
      <w:sz w:val="20"/>
      <w:szCs w:val="20"/>
      <w:lang w:val="en-GB" w:eastAsia="en-US"/>
    </w:rPr>
  </w:style>
  <w:style w:type="paragraph" w:customStyle="1" w:styleId="86">
    <w:name w:val="FP"/>
    <w:basedOn w:val="1"/>
    <w:uiPriority w:val="0"/>
    <w:rPr>
      <w:rFonts w:eastAsia="宋体"/>
      <w:sz w:val="20"/>
      <w:szCs w:val="20"/>
      <w:lang w:val="en-GB" w:eastAsia="en-US"/>
    </w:rPr>
  </w:style>
  <w:style w:type="paragraph" w:customStyle="1" w:styleId="87">
    <w:name w:val="NW"/>
    <w:basedOn w:val="81"/>
    <w:uiPriority w:val="0"/>
    <w:pPr>
      <w:spacing w:after="0"/>
    </w:pPr>
  </w:style>
  <w:style w:type="paragraph" w:customStyle="1" w:styleId="88">
    <w:name w:val="EW"/>
    <w:basedOn w:val="85"/>
    <w:uiPriority w:val="0"/>
    <w:pPr>
      <w:spacing w:after="0"/>
    </w:pPr>
  </w:style>
  <w:style w:type="paragraph" w:customStyle="1" w:styleId="89">
    <w:name w:val="Editor's Note"/>
    <w:basedOn w:val="81"/>
    <w:uiPriority w:val="0"/>
    <w:rPr>
      <w:color w:val="FF0000"/>
    </w:rPr>
  </w:style>
  <w:style w:type="paragraph" w:customStyle="1" w:styleId="90">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91">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92">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3">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4">
    <w:name w:val="TAN"/>
    <w:basedOn w:val="59"/>
    <w:link w:val="115"/>
    <w:uiPriority w:val="0"/>
    <w:pPr>
      <w:ind w:left="851" w:hanging="851"/>
    </w:pPr>
  </w:style>
  <w:style w:type="paragraph" w:customStyle="1" w:styleId="95">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6">
    <w:name w:val="TF"/>
    <w:basedOn w:val="67"/>
    <w:uiPriority w:val="0"/>
    <w:pPr>
      <w:keepNext w:val="0"/>
      <w:spacing w:before="0" w:after="240"/>
    </w:pPr>
  </w:style>
  <w:style w:type="paragraph" w:customStyle="1" w:styleId="97">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98">
    <w:name w:val="B3"/>
    <w:basedOn w:val="1"/>
    <w:uiPriority w:val="0"/>
    <w:pPr>
      <w:spacing w:after="180"/>
      <w:ind w:left="1135" w:hanging="284"/>
    </w:pPr>
    <w:rPr>
      <w:rFonts w:eastAsia="宋体"/>
      <w:sz w:val="20"/>
      <w:szCs w:val="20"/>
      <w:lang w:val="en-GB" w:eastAsia="en-US"/>
    </w:rPr>
  </w:style>
  <w:style w:type="paragraph" w:customStyle="1" w:styleId="99">
    <w:name w:val="B4"/>
    <w:basedOn w:val="1"/>
    <w:uiPriority w:val="0"/>
    <w:pPr>
      <w:spacing w:after="180"/>
      <w:ind w:left="1418" w:hanging="284"/>
    </w:pPr>
    <w:rPr>
      <w:rFonts w:eastAsia="宋体"/>
      <w:sz w:val="20"/>
      <w:szCs w:val="20"/>
      <w:lang w:val="en-GB" w:eastAsia="en-US"/>
    </w:rPr>
  </w:style>
  <w:style w:type="paragraph" w:customStyle="1" w:styleId="100">
    <w:name w:val="B5"/>
    <w:basedOn w:val="1"/>
    <w:uiPriority w:val="0"/>
    <w:pPr>
      <w:spacing w:after="180"/>
      <w:ind w:left="1702" w:hanging="284"/>
    </w:pPr>
    <w:rPr>
      <w:rFonts w:eastAsia="宋体"/>
      <w:sz w:val="20"/>
      <w:szCs w:val="20"/>
      <w:lang w:val="en-GB" w:eastAsia="en-US"/>
    </w:rPr>
  </w:style>
  <w:style w:type="paragraph" w:customStyle="1" w:styleId="101">
    <w:name w:val="ZTD"/>
    <w:basedOn w:val="91"/>
    <w:uiPriority w:val="0"/>
    <w:pPr>
      <w:framePr w:hRule="auto" w:y="852"/>
    </w:pPr>
    <w:rPr>
      <w:i w:val="0"/>
      <w:sz w:val="40"/>
    </w:rPr>
  </w:style>
  <w:style w:type="paragraph" w:customStyle="1" w:styleId="102">
    <w:name w:val="ZV"/>
    <w:basedOn w:val="93"/>
    <w:uiPriority w:val="0"/>
    <w:pPr>
      <w:framePr w:y="16161"/>
    </w:pPr>
  </w:style>
  <w:style w:type="paragraph" w:customStyle="1" w:styleId="103">
    <w:name w:val="TAJ"/>
    <w:basedOn w:val="67"/>
    <w:uiPriority w:val="0"/>
  </w:style>
  <w:style w:type="paragraph" w:customStyle="1" w:styleId="104">
    <w:name w:val="Guidance"/>
    <w:basedOn w:val="1"/>
    <w:uiPriority w:val="0"/>
    <w:pPr>
      <w:spacing w:after="180"/>
    </w:pPr>
    <w:rPr>
      <w:rFonts w:eastAsia="宋体"/>
      <w:i/>
      <w:color w:val="0000FF"/>
      <w:sz w:val="20"/>
      <w:szCs w:val="20"/>
      <w:lang w:val="en-GB" w:eastAsia="en-US"/>
    </w:rPr>
  </w:style>
  <w:style w:type="character" w:customStyle="1" w:styleId="105">
    <w:name w:val="B1 (文字)"/>
    <w:locked/>
    <w:uiPriority w:val="99"/>
    <w:rPr>
      <w:rFonts w:ascii="Times New Roman" w:hAnsi="Times New Roman" w:eastAsia="Times New Roman" w:cs="Times New Roman"/>
      <w:sz w:val="20"/>
      <w:szCs w:val="20"/>
      <w:lang w:val="en-GB" w:eastAsia="en-US"/>
    </w:rPr>
  </w:style>
  <w:style w:type="character" w:customStyle="1" w:styleId="106">
    <w:name w:val="B1 Zchn"/>
    <w:locked/>
    <w:uiPriority w:val="0"/>
    <w:rPr>
      <w:rFonts w:ascii="Times New Roman" w:hAnsi="Times New Roman"/>
      <w:lang w:val="en-GB" w:eastAsia="en-US"/>
    </w:rPr>
  </w:style>
  <w:style w:type="character" w:customStyle="1" w:styleId="107">
    <w:name w:val="msoins"/>
    <w:basedOn w:val="11"/>
    <w:uiPriority w:val="0"/>
  </w:style>
  <w:style w:type="character" w:customStyle="1" w:styleId="108">
    <w:name w:val="B1 Char"/>
    <w:uiPriority w:val="0"/>
    <w:rPr>
      <w:lang w:val="en-GB" w:eastAsia="en-US"/>
    </w:rPr>
  </w:style>
  <w:style w:type="character" w:customStyle="1" w:styleId="109">
    <w:name w:val="PL Char"/>
    <w:link w:val="82"/>
    <w:qFormat/>
    <w:uiPriority w:val="0"/>
    <w:rPr>
      <w:rFonts w:ascii="Courier New" w:hAnsi="Courier New" w:eastAsia="宋体" w:cs="Times New Roman"/>
      <w:sz w:val="16"/>
      <w:szCs w:val="20"/>
      <w:lang w:val="en-GB" w:eastAsia="en-US"/>
    </w:rPr>
  </w:style>
  <w:style w:type="paragraph" w:customStyle="1" w:styleId="110">
    <w:name w:val="CR Cover Page"/>
    <w:link w:val="111"/>
    <w:uiPriority w:val="0"/>
    <w:pPr>
      <w:spacing w:after="120"/>
    </w:pPr>
    <w:rPr>
      <w:rFonts w:ascii="Arial" w:hAnsi="Arial" w:cs="Times New Roman" w:eastAsiaTheme="minorEastAsia"/>
      <w:lang w:val="en-GB" w:eastAsia="en-US" w:bidi="ar-SA"/>
    </w:rPr>
  </w:style>
  <w:style w:type="character" w:customStyle="1" w:styleId="111">
    <w:name w:val="CR Cover Page Zchn"/>
    <w:link w:val="110"/>
    <w:uiPriority w:val="0"/>
    <w:rPr>
      <w:rFonts w:ascii="Arial" w:hAnsi="Arial" w:cs="Times New Roman"/>
      <w:sz w:val="20"/>
      <w:szCs w:val="20"/>
      <w:lang w:val="en-GB" w:eastAsia="en-US"/>
    </w:rPr>
  </w:style>
  <w:style w:type="paragraph" w:customStyle="1" w:styleId="112">
    <w:name w:val="Revision1"/>
    <w:hidden/>
    <w:semiHidden/>
    <w:uiPriority w:val="99"/>
    <w:rPr>
      <w:rFonts w:ascii="Times New Roman" w:hAnsi="Times New Roman" w:eastAsia="Times New Roman" w:cs="Times New Roman"/>
      <w:sz w:val="24"/>
      <w:szCs w:val="24"/>
      <w:lang w:val="en-US" w:eastAsia="zh-CN" w:bidi="ar-SA"/>
    </w:rPr>
  </w:style>
  <w:style w:type="paragraph" w:customStyle="1" w:styleId="113">
    <w:name w:val="Char Char1 Char Char Char Char Char Char"/>
    <w:semiHidden/>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table" w:customStyle="1" w:styleId="114">
    <w:name w:val="网格型1"/>
    <w:basedOn w:val="12"/>
    <w:qFormat/>
    <w:uiPriority w:val="39"/>
    <w:pPr>
      <w:spacing w:after="200" w:line="276" w:lineRule="auto"/>
    </w:pPr>
    <w:rPr>
      <w:rFonts w:eastAsia="MS Mincho"/>
      <w:lang w:val="it-IT"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5">
    <w:name w:val="TAN Char"/>
    <w:link w:val="94"/>
    <w:qFormat/>
    <w:uiPriority w:val="0"/>
    <w:rPr>
      <w:rFonts w:ascii="Arial" w:hAnsi="Arial" w:eastAsia="宋体" w:cs="Times New Roman"/>
      <w:sz w:val="18"/>
      <w:szCs w:val="20"/>
      <w:lang w:val="en-GB" w:eastAsia="en-US"/>
    </w:rPr>
  </w:style>
  <w:style w:type="character" w:customStyle="1" w:styleId="116">
    <w:name w:val="s2"/>
    <w:basedOn w:val="11"/>
    <w:uiPriority w:val="0"/>
  </w:style>
  <w:style w:type="character" w:customStyle="1" w:styleId="117">
    <w:name w:val="s4"/>
    <w:basedOn w:val="11"/>
    <w:uiPriority w:val="0"/>
  </w:style>
  <w:style w:type="paragraph" w:customStyle="1" w:styleId="118">
    <w:name w:val="Doc-text2"/>
    <w:basedOn w:val="1"/>
    <w:qFormat/>
    <w:uiPriority w:val="0"/>
    <w:pPr>
      <w:tabs>
        <w:tab w:val="left" w:pos="1440"/>
        <w:tab w:val="left" w:pos="1622"/>
      </w:tabs>
      <w:ind w:left="1622" w:hanging="363"/>
    </w:pPr>
    <w:rPr>
      <w:rFonts w:ascii="Arial" w:hAnsi="Arial" w:eastAsia="MS Mincho"/>
      <w:lang w:eastAsia="en-GB"/>
    </w:rPr>
  </w:style>
  <w:style w:type="character" w:customStyle="1" w:styleId="119">
    <w:name w:val="s1"/>
    <w:uiPriority w:val="0"/>
    <w:rPr>
      <w:rFonts w:ascii="Lucida Grande" w:hAnsi="Lucida Grande" w:eastAsia="Lucida Grande" w:cs="Lucida Grande"/>
      <w:color w:val="0F80FE"/>
      <w:sz w:val="72"/>
      <w:szCs w:val="72"/>
    </w:rPr>
  </w:style>
  <w:style w:type="paragraph" w:customStyle="1" w:styleId="120">
    <w:name w:val="Revision"/>
    <w:hidden/>
    <w:unhideWhenUsed/>
    <w:uiPriority w:val="99"/>
    <w:rPr>
      <w:rFonts w:ascii="Times New Roman" w:hAnsi="Times New Roman" w:eastAsia="Times New Roman" w:cs="Times New Roman"/>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1936</Words>
  <Characters>11040</Characters>
  <Lines>92</Lines>
  <Paragraphs>25</Paragraphs>
  <TotalTime>0</TotalTime>
  <ScaleCrop>false</ScaleCrop>
  <LinksUpToDate>false</LinksUpToDate>
  <CharactersWithSpaces>12951</CharactersWithSpaces>
  <Application>WPS Office_6.0.2.8225_F1E327BC-269C-435d-A152-05C5408002CA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2023-09-30T01:54:00Z</dcterms:created>
  <dc:creator>Sigen Ye</dc:creator>
  <cp:lastModifiedBy>Dan Wu</cp:lastModifiedBy>
  <cp:lastPrinted>2019-11-12T16:46:00Z</cp:lastPrinted>
  <dcterms:modified xsi:type="dcterms:W3CDTF">2023-09-29T15:59:51Z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1033-6.0.2.8225</vt:lpwstr>
  </property>
  <property fmtid="{D5CDD505-2E9C-101B-9397-08002B2CF9AE}" pid="3" name="ICV">
    <vt:lpwstr>C46DE45A7409EBEE2E1B1665328881AD_43</vt:lpwstr>
  </property>
</Properties>
</file>